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E7855A">
      <w:pPr>
        <w:pStyle w:val="2"/>
        <w:keepNext/>
        <w:keepLines/>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left"/>
        <w:textAlignment w:val="auto"/>
        <w:outlineLvl w:val="0"/>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eastAsia="zh-CN"/>
        </w:rPr>
        <w:t>附件</w:t>
      </w:r>
      <w:r>
        <w:rPr>
          <w:rFonts w:hint="eastAsia" w:ascii="黑体" w:hAnsi="黑体" w:eastAsia="黑体" w:cs="黑体"/>
          <w:b w:val="0"/>
          <w:bCs/>
          <w:color w:val="auto"/>
          <w:sz w:val="32"/>
          <w:szCs w:val="32"/>
          <w:lang w:val="en-US" w:eastAsia="zh-CN"/>
        </w:rPr>
        <w:t>2</w:t>
      </w:r>
    </w:p>
    <w:p w14:paraId="55ED3E2F">
      <w:pPr>
        <w:rPr>
          <w:rFonts w:hint="eastAsia"/>
          <w:lang w:val="en-US" w:eastAsia="zh-CN"/>
        </w:rPr>
      </w:pPr>
    </w:p>
    <w:p w14:paraId="307868EA">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outlineLvl w:val="0"/>
        <w:rPr>
          <w:rFonts w:hint="eastAsia" w:ascii="方正小标宋_GBK" w:hAnsi="方正小标宋_GBK" w:eastAsia="方正小标宋_GBK" w:cs="方正小标宋_GBK"/>
          <w:b w:val="0"/>
          <w:bCs/>
          <w:color w:val="auto"/>
          <w:sz w:val="44"/>
          <w:szCs w:val="44"/>
          <w:lang w:eastAsia="zh-CN"/>
        </w:rPr>
      </w:pPr>
      <w:r>
        <w:rPr>
          <w:rFonts w:hint="eastAsia" w:ascii="方正小标宋_GBK" w:hAnsi="方正小标宋_GBK" w:eastAsia="方正小标宋_GBK" w:cs="方正小标宋_GBK"/>
          <w:b w:val="0"/>
          <w:bCs/>
          <w:color w:val="auto"/>
          <w:sz w:val="44"/>
          <w:szCs w:val="44"/>
          <w:lang w:val="en-US" w:eastAsia="zh-CN"/>
        </w:rPr>
        <w:t>青岛</w:t>
      </w:r>
      <w:r>
        <w:rPr>
          <w:rFonts w:hint="eastAsia" w:ascii="方正小标宋_GBK" w:hAnsi="方正小标宋_GBK" w:eastAsia="方正小标宋_GBK" w:cs="方正小标宋_GBK"/>
          <w:b w:val="0"/>
          <w:bCs/>
          <w:color w:val="auto"/>
          <w:sz w:val="44"/>
          <w:szCs w:val="44"/>
          <w:lang w:eastAsia="zh-CN"/>
        </w:rPr>
        <w:t>市人力资源和社会保障局</w:t>
      </w:r>
    </w:p>
    <w:p w14:paraId="279F50D3">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outlineLvl w:val="0"/>
        <w:rPr>
          <w:rFonts w:hint="eastAsia" w:ascii="方正小标宋简体" w:hAnsi="黑体" w:eastAsia="方正小标宋简体" w:cs="黑体"/>
          <w:color w:val="auto"/>
          <w:sz w:val="44"/>
          <w:szCs w:val="44"/>
          <w:lang w:eastAsia="zh-CN"/>
        </w:rPr>
      </w:pPr>
      <w:r>
        <w:rPr>
          <w:rFonts w:hint="eastAsia" w:ascii="方正小标宋_GBK" w:hAnsi="方正小标宋_GBK" w:eastAsia="方正小标宋_GBK" w:cs="方正小标宋_GBK"/>
          <w:b w:val="0"/>
          <w:bCs/>
          <w:color w:val="auto"/>
          <w:sz w:val="44"/>
          <w:szCs w:val="44"/>
          <w:lang w:eastAsia="zh-CN"/>
        </w:rPr>
        <w:t>关于《</w:t>
      </w:r>
      <w:r>
        <w:rPr>
          <w:rFonts w:hint="eastAsia" w:ascii="方正小标宋_GBK" w:hAnsi="方正小标宋_GBK" w:eastAsia="方正小标宋_GBK" w:cs="方正小标宋_GBK"/>
          <w:b w:val="0"/>
          <w:bCs/>
          <w:color w:val="auto"/>
          <w:sz w:val="44"/>
          <w:szCs w:val="44"/>
          <w:lang w:val="en-US" w:eastAsia="zh-CN"/>
        </w:rPr>
        <w:t>青岛</w:t>
      </w:r>
      <w:r>
        <w:rPr>
          <w:rFonts w:hint="eastAsia" w:ascii="方正小标宋_GBK" w:hAnsi="方正小标宋_GBK" w:eastAsia="方正小标宋_GBK" w:cs="方正小标宋_GBK"/>
          <w:b w:val="0"/>
          <w:bCs/>
          <w:color w:val="auto"/>
          <w:sz w:val="44"/>
          <w:szCs w:val="44"/>
          <w:lang w:eastAsia="zh-CN"/>
        </w:rPr>
        <w:t>市</w:t>
      </w:r>
      <w:r>
        <w:rPr>
          <w:rFonts w:hint="eastAsia" w:ascii="方正小标宋_GBK" w:hAnsi="方正小标宋_GBK" w:eastAsia="方正小标宋_GBK" w:cs="方正小标宋_GBK"/>
          <w:b w:val="0"/>
          <w:bCs/>
          <w:color w:val="auto"/>
          <w:sz w:val="44"/>
          <w:szCs w:val="44"/>
          <w:lang w:val="en-US" w:eastAsia="zh-CN"/>
        </w:rPr>
        <w:t>人力资源和社会保障系统</w:t>
      </w:r>
      <w:r>
        <w:rPr>
          <w:rFonts w:hint="eastAsia" w:ascii="方正小标宋_GBK" w:hAnsi="方正小标宋_GBK" w:eastAsia="方正小标宋_GBK" w:cs="方正小标宋_GBK"/>
          <w:b w:val="0"/>
          <w:bCs/>
          <w:color w:val="auto"/>
          <w:sz w:val="44"/>
          <w:szCs w:val="44"/>
          <w:lang w:eastAsia="zh-CN"/>
        </w:rPr>
        <w:t>行政裁量权基准（征求意见稿）》的起草说明</w:t>
      </w:r>
    </w:p>
    <w:p w14:paraId="1D672526">
      <w:pPr>
        <w:pageBreakBefore w:val="0"/>
        <w:widowControl w:val="0"/>
        <w:kinsoku/>
        <w:wordWrap/>
        <w:topLinePunct w:val="0"/>
        <w:autoSpaceDE/>
        <w:autoSpaceDN/>
        <w:bidi w:val="0"/>
        <w:adjustRightInd/>
        <w:snapToGrid/>
        <w:spacing w:line="560" w:lineRule="exact"/>
        <w:ind w:left="0"/>
        <w:textAlignment w:val="auto"/>
        <w:rPr>
          <w:rFonts w:hint="eastAsia" w:ascii="黑体" w:hAnsi="黑体" w:eastAsia="黑体" w:cs="仿宋"/>
          <w:color w:val="auto"/>
          <w:sz w:val="32"/>
          <w:szCs w:val="32"/>
        </w:rPr>
      </w:pPr>
      <w:bookmarkStart w:id="0" w:name="OLE_LINK1"/>
      <w:r>
        <w:rPr>
          <w:rFonts w:hint="eastAsia" w:ascii="仿宋_GB2312" w:hAnsi="仿宋" w:eastAsia="仿宋_GB2312" w:cs="仿宋"/>
          <w:color w:val="auto"/>
          <w:sz w:val="32"/>
          <w:szCs w:val="32"/>
        </w:rPr>
        <w:t xml:space="preserve">  </w:t>
      </w:r>
      <w:r>
        <w:rPr>
          <w:rFonts w:hint="eastAsia" w:ascii="黑体" w:hAnsi="黑体" w:eastAsia="黑体" w:cs="仿宋"/>
          <w:color w:val="auto"/>
          <w:sz w:val="32"/>
          <w:szCs w:val="32"/>
        </w:rPr>
        <w:t xml:space="preserve">  </w:t>
      </w:r>
    </w:p>
    <w:p w14:paraId="338ABA30">
      <w:pPr>
        <w:keepNext w:val="0"/>
        <w:keepLines w:val="0"/>
        <w:pageBreakBefore w:val="0"/>
        <w:widowControl w:val="0"/>
        <w:kinsoku/>
        <w:wordWrap/>
        <w:topLinePunct w:val="0"/>
        <w:autoSpaceDE/>
        <w:autoSpaceDN/>
        <w:bidi w:val="0"/>
        <w:adjustRightInd/>
        <w:snapToGrid/>
        <w:spacing w:line="560" w:lineRule="exact"/>
        <w:ind w:left="0" w:right="0" w:rightChars="0" w:firstLine="640" w:firstLineChars="200"/>
        <w:textAlignment w:val="auto"/>
        <w:outlineLvl w:val="9"/>
        <w:rPr>
          <w:rFonts w:hint="eastAsia" w:ascii="黑体" w:hAnsi="黑体" w:eastAsia="黑体" w:cs="黑体"/>
          <w:color w:val="auto"/>
          <w:sz w:val="32"/>
          <w:szCs w:val="32"/>
        </w:rPr>
      </w:pPr>
      <w:r>
        <w:rPr>
          <w:rFonts w:hint="eastAsia" w:ascii="黑体" w:hAnsi="黑体" w:eastAsia="黑体" w:cs="黑体"/>
          <w:color w:val="auto"/>
          <w:sz w:val="32"/>
          <w:szCs w:val="32"/>
        </w:rPr>
        <w:t>一、起草背景</w:t>
      </w:r>
    </w:p>
    <w:p w14:paraId="357B5766">
      <w:pPr>
        <w:keepNext w:val="0"/>
        <w:keepLines w:val="0"/>
        <w:pageBreakBefore w:val="0"/>
        <w:widowControl w:val="0"/>
        <w:kinsoku/>
        <w:wordWrap/>
        <w:topLinePunct w:val="0"/>
        <w:autoSpaceDE/>
        <w:autoSpaceDN/>
        <w:bidi w:val="0"/>
        <w:adjustRightInd/>
        <w:snapToGrid/>
        <w:spacing w:line="560" w:lineRule="exact"/>
        <w:ind w:left="0" w:right="0" w:rightChars="0" w:firstLine="640" w:firstLineChars="200"/>
        <w:contextualSpacing/>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为贯彻落实《国务院办公厅关于进一步规范行政裁量权基准制定和管理工作的意见》（国办发〔2022〕27号）、</w:t>
      </w:r>
      <w:r>
        <w:rPr>
          <w:rFonts w:hint="eastAsia" w:ascii="仿宋_GB2312" w:hAnsi="仿宋_GB2312" w:eastAsia="仿宋_GB2312" w:cs="仿宋_GB2312"/>
          <w:color w:val="auto"/>
          <w:sz w:val="32"/>
          <w:szCs w:val="32"/>
          <w:lang w:eastAsia="zh-CN"/>
        </w:rPr>
        <w:t>《国务院办公厅关于严格规范涉企行政检查的意见》（国办发〔2024〕54号）文件精神</w:t>
      </w:r>
      <w:r>
        <w:rPr>
          <w:rFonts w:hint="eastAsia" w:ascii="仿宋_GB2312" w:hAnsi="仿宋_GB2312" w:eastAsia="仿宋_GB2312" w:cs="仿宋_GB2312"/>
          <w:color w:val="auto"/>
          <w:sz w:val="32"/>
          <w:szCs w:val="32"/>
          <w:lang w:val="en-US" w:eastAsia="zh-CN"/>
        </w:rPr>
        <w:t>，建立健全人力资源社会保障系统行政裁量权基准制度，更好保护企业群众合法权益，市人力资源社会保障局结合全市人社系统行政执法工作实际</w:t>
      </w:r>
      <w:bookmarkStart w:id="1" w:name="_GoBack"/>
      <w:bookmarkEnd w:id="1"/>
      <w:r>
        <w:rPr>
          <w:rFonts w:hint="eastAsia" w:ascii="仿宋_GB2312" w:hAnsi="仿宋_GB2312" w:eastAsia="仿宋_GB2312" w:cs="仿宋_GB2312"/>
          <w:color w:val="auto"/>
          <w:sz w:val="32"/>
          <w:szCs w:val="32"/>
          <w:lang w:val="en-US" w:eastAsia="zh-CN"/>
        </w:rPr>
        <w:t>，起草了《青岛市人力资源和社会保障系统行政裁量权基准（征求意见稿）》（以下简称“征求意见稿”），包括行政许可、行</w:t>
      </w:r>
      <w:r>
        <w:rPr>
          <w:rFonts w:hint="eastAsia" w:ascii="仿宋_GB2312" w:hAnsi="仿宋_GB2312" w:eastAsia="仿宋_GB2312" w:cs="仿宋_GB2312"/>
          <w:color w:val="auto"/>
          <w:sz w:val="32"/>
          <w:szCs w:val="32"/>
          <w:lang w:eastAsia="zh-CN"/>
        </w:rPr>
        <w:t>政强制、行政确认、行政奖励、行政检查、</w:t>
      </w:r>
      <w:r>
        <w:rPr>
          <w:rFonts w:hint="eastAsia" w:ascii="仿宋_GB2312" w:hAnsi="仿宋_GB2312" w:eastAsia="仿宋_GB2312" w:cs="仿宋_GB2312"/>
          <w:color w:val="auto"/>
          <w:sz w:val="32"/>
          <w:szCs w:val="32"/>
          <w:lang w:val="en-US" w:eastAsia="zh-CN"/>
        </w:rPr>
        <w:t>不予处罚、从轻处罚</w:t>
      </w:r>
      <w:r>
        <w:rPr>
          <w:rFonts w:hint="eastAsia" w:ascii="仿宋_GB2312" w:hAnsi="仿宋_GB2312" w:eastAsia="仿宋_GB2312" w:cs="仿宋_GB2312"/>
          <w:color w:val="auto"/>
          <w:sz w:val="32"/>
          <w:szCs w:val="32"/>
          <w:lang w:eastAsia="zh-CN"/>
        </w:rPr>
        <w:t>等行政权力</w:t>
      </w:r>
      <w:r>
        <w:rPr>
          <w:rFonts w:hint="eastAsia" w:ascii="仿宋_GB2312" w:hAnsi="仿宋_GB2312" w:eastAsia="仿宋_GB2312" w:cs="仿宋_GB2312"/>
          <w:color w:val="auto"/>
          <w:sz w:val="32"/>
          <w:szCs w:val="32"/>
          <w:lang w:val="en-US" w:eastAsia="zh-CN"/>
        </w:rPr>
        <w:t>事项</w:t>
      </w:r>
      <w:r>
        <w:rPr>
          <w:rFonts w:hint="eastAsia" w:ascii="仿宋_GB2312" w:hAnsi="仿宋_GB2312" w:eastAsia="仿宋_GB2312" w:cs="仿宋_GB2312"/>
          <w:color w:val="auto"/>
          <w:sz w:val="32"/>
          <w:szCs w:val="32"/>
          <w:lang w:eastAsia="zh-CN"/>
        </w:rPr>
        <w:t>的裁量权基准，进一步对行政</w:t>
      </w:r>
      <w:r>
        <w:rPr>
          <w:rFonts w:hint="eastAsia" w:ascii="仿宋_GB2312" w:hAnsi="仿宋_GB2312" w:eastAsia="仿宋_GB2312" w:cs="仿宋_GB2312"/>
          <w:color w:val="auto"/>
          <w:sz w:val="32"/>
          <w:szCs w:val="32"/>
          <w:lang w:val="en-US" w:eastAsia="zh-CN"/>
        </w:rPr>
        <w:t>权力</w:t>
      </w:r>
      <w:r>
        <w:rPr>
          <w:rFonts w:hint="eastAsia" w:ascii="仿宋_GB2312" w:hAnsi="仿宋_GB2312" w:eastAsia="仿宋_GB2312" w:cs="仿宋_GB2312"/>
          <w:color w:val="auto"/>
          <w:sz w:val="32"/>
          <w:szCs w:val="32"/>
          <w:lang w:eastAsia="zh-CN"/>
        </w:rPr>
        <w:t>事项进行细化量化，以推动</w:t>
      </w:r>
      <w:r>
        <w:rPr>
          <w:rFonts w:hint="eastAsia" w:ascii="仿宋_GB2312" w:hAnsi="仿宋_GB2312" w:eastAsia="仿宋_GB2312" w:cs="仿宋_GB2312"/>
          <w:color w:val="auto"/>
          <w:sz w:val="32"/>
          <w:szCs w:val="32"/>
          <w:lang w:val="en-US" w:eastAsia="zh-CN"/>
        </w:rPr>
        <w:t>依法行政</w:t>
      </w:r>
      <w:r>
        <w:rPr>
          <w:rFonts w:hint="eastAsia" w:ascii="仿宋_GB2312" w:hAnsi="仿宋_GB2312" w:eastAsia="仿宋_GB2312" w:cs="仿宋_GB2312"/>
          <w:color w:val="auto"/>
          <w:sz w:val="32"/>
          <w:szCs w:val="32"/>
          <w:lang w:eastAsia="zh-CN"/>
        </w:rPr>
        <w:t>便捷高效，</w:t>
      </w:r>
      <w:r>
        <w:rPr>
          <w:rFonts w:hint="eastAsia" w:ascii="仿宋_GB2312" w:hAnsi="仿宋_GB2312" w:eastAsia="仿宋_GB2312" w:cs="仿宋_GB2312"/>
          <w:color w:val="auto"/>
          <w:sz w:val="32"/>
          <w:szCs w:val="32"/>
          <w:lang w:val="en-US" w:eastAsia="zh-CN"/>
        </w:rPr>
        <w:t>坚决遏制乱检查、乱许可、乱处罚等行为发生，优化法治化营商环境</w:t>
      </w:r>
      <w:r>
        <w:rPr>
          <w:rFonts w:hint="eastAsia" w:ascii="仿宋_GB2312" w:hAnsi="仿宋_GB2312" w:eastAsia="仿宋_GB2312" w:cs="仿宋_GB2312"/>
          <w:color w:val="auto"/>
          <w:sz w:val="32"/>
          <w:szCs w:val="32"/>
          <w:lang w:eastAsia="zh-CN"/>
        </w:rPr>
        <w:t>。</w:t>
      </w:r>
    </w:p>
    <w:p w14:paraId="3DE4BABE">
      <w:pPr>
        <w:keepNext w:val="0"/>
        <w:keepLines w:val="0"/>
        <w:pageBreakBefore w:val="0"/>
        <w:widowControl w:val="0"/>
        <w:kinsoku/>
        <w:wordWrap/>
        <w:topLinePunct w:val="0"/>
        <w:autoSpaceDE/>
        <w:autoSpaceDN/>
        <w:bidi w:val="0"/>
        <w:adjustRightInd/>
        <w:snapToGrid/>
        <w:spacing w:line="560" w:lineRule="exact"/>
        <w:ind w:left="0" w:right="0" w:rightChars="0" w:firstLine="640" w:firstLineChars="200"/>
        <w:textAlignment w:val="auto"/>
        <w:outlineLvl w:val="9"/>
        <w:rPr>
          <w:rFonts w:hint="eastAsia" w:ascii="黑体" w:hAnsi="黑体" w:eastAsia="黑体" w:cs="黑体"/>
          <w:color w:val="auto"/>
          <w:sz w:val="32"/>
          <w:szCs w:val="32"/>
        </w:rPr>
      </w:pPr>
      <w:r>
        <w:rPr>
          <w:rFonts w:hint="eastAsia" w:ascii="黑体" w:hAnsi="黑体" w:eastAsia="黑体" w:cs="黑体"/>
          <w:color w:val="auto"/>
          <w:sz w:val="32"/>
          <w:szCs w:val="32"/>
        </w:rPr>
        <w:t>二、</w:t>
      </w:r>
      <w:r>
        <w:rPr>
          <w:rFonts w:hint="eastAsia" w:ascii="黑体" w:hAnsi="黑体" w:eastAsia="黑体" w:cs="黑体"/>
          <w:color w:val="auto"/>
          <w:sz w:val="32"/>
          <w:szCs w:val="32"/>
          <w:lang w:eastAsia="zh-CN"/>
        </w:rPr>
        <w:t>主要</w:t>
      </w:r>
      <w:r>
        <w:rPr>
          <w:rFonts w:hint="eastAsia" w:ascii="黑体" w:hAnsi="黑体" w:eastAsia="黑体" w:cs="黑体"/>
          <w:color w:val="auto"/>
          <w:sz w:val="32"/>
          <w:szCs w:val="32"/>
        </w:rPr>
        <w:t>依据</w:t>
      </w:r>
    </w:p>
    <w:p w14:paraId="13F01C0E">
      <w:pPr>
        <w:keepNext w:val="0"/>
        <w:keepLines w:val="0"/>
        <w:pageBreakBefore w:val="0"/>
        <w:widowControl w:val="0"/>
        <w:kinsoku/>
        <w:wordWrap/>
        <w:topLinePunct w:val="0"/>
        <w:autoSpaceDE/>
        <w:autoSpaceDN/>
        <w:bidi w:val="0"/>
        <w:adjustRightInd/>
        <w:snapToGrid/>
        <w:spacing w:line="560" w:lineRule="exact"/>
        <w:ind w:left="0" w:right="0" w:righ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法律法规规章依据：</w:t>
      </w:r>
      <w:r>
        <w:rPr>
          <w:rFonts w:hint="eastAsia" w:ascii="仿宋_GB2312" w:hAnsi="仿宋_GB2312" w:eastAsia="仿宋_GB2312" w:cs="仿宋_GB2312"/>
          <w:color w:val="auto"/>
          <w:sz w:val="32"/>
          <w:szCs w:val="32"/>
          <w:lang w:val="en-US" w:eastAsia="zh-CN"/>
        </w:rPr>
        <w:t>主要包括《中华人民共和国劳动法》《中华人民共和国劳动合同法》《中华人民共和国社会保险法》《中华人民共和国就业促进法》《中华人民共和国行政许可法》《中华人民共和国行政强制法》《劳务派遣行政许可实施办法》《劳动保障监察条例》《保障农民工工资支付条例》《山东省企业工资支付规定》等法律、法规、规章。</w:t>
      </w:r>
    </w:p>
    <w:p w14:paraId="006B8AA7">
      <w:pPr>
        <w:keepNext w:val="0"/>
        <w:keepLines w:val="0"/>
        <w:pageBreakBefore w:val="0"/>
        <w:widowControl w:val="0"/>
        <w:kinsoku/>
        <w:wordWrap/>
        <w:topLinePunct w:val="0"/>
        <w:autoSpaceDE/>
        <w:autoSpaceDN/>
        <w:bidi w:val="0"/>
        <w:adjustRightInd/>
        <w:snapToGrid/>
        <w:spacing w:line="560" w:lineRule="exact"/>
        <w:ind w:left="0" w:right="0" w:rightChars="0" w:firstLine="640" w:firstLineChars="200"/>
        <w:textAlignment w:val="auto"/>
        <w:outlineLvl w:val="9"/>
        <w:rPr>
          <w:rFonts w:hint="default"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其它政策文件依据：</w:t>
      </w:r>
      <w:r>
        <w:rPr>
          <w:rFonts w:hint="eastAsia" w:ascii="仿宋_GB2312" w:hAnsi="仿宋_GB2312" w:eastAsia="仿宋_GB2312" w:cs="仿宋_GB2312"/>
          <w:color w:val="auto"/>
          <w:sz w:val="32"/>
          <w:szCs w:val="32"/>
          <w:lang w:val="en-US" w:eastAsia="zh-CN"/>
        </w:rPr>
        <w:t>主要包括《海事劳工检查条件》《关于严格规范人力资源和社会保障领域涉企行政检查的通知》《企业劳动保障守法诚信等级评价办法》《山东省企业劳动保障守法诚信等级评价办法》等政策文件。</w:t>
      </w:r>
    </w:p>
    <w:p w14:paraId="5551526D">
      <w:pPr>
        <w:keepNext w:val="0"/>
        <w:keepLines w:val="0"/>
        <w:pageBreakBefore w:val="0"/>
        <w:widowControl w:val="0"/>
        <w:kinsoku/>
        <w:wordWrap/>
        <w:topLinePunct w:val="0"/>
        <w:autoSpaceDE/>
        <w:autoSpaceDN/>
        <w:bidi w:val="0"/>
        <w:adjustRightInd/>
        <w:snapToGrid/>
        <w:spacing w:line="560" w:lineRule="exact"/>
        <w:ind w:left="0" w:right="0" w:rightChars="0" w:firstLine="640" w:firstLineChars="200"/>
        <w:textAlignment w:val="auto"/>
        <w:outlineLvl w:val="9"/>
        <w:rPr>
          <w:rFonts w:hint="eastAsia" w:ascii="黑体" w:hAnsi="黑体" w:eastAsia="黑体" w:cs="黑体"/>
          <w:color w:val="auto"/>
          <w:sz w:val="32"/>
          <w:szCs w:val="32"/>
        </w:rPr>
      </w:pPr>
      <w:r>
        <w:rPr>
          <w:rFonts w:hint="eastAsia" w:ascii="黑体" w:hAnsi="黑体" w:eastAsia="黑体" w:cs="黑体"/>
          <w:color w:val="auto"/>
          <w:sz w:val="32"/>
          <w:szCs w:val="32"/>
        </w:rPr>
        <w:t>三、起草过程</w:t>
      </w:r>
    </w:p>
    <w:p w14:paraId="3940E37F">
      <w:pPr>
        <w:keepNext w:val="0"/>
        <w:keepLines w:val="0"/>
        <w:pageBreakBefore w:val="0"/>
        <w:widowControl w:val="0"/>
        <w:kinsoku/>
        <w:wordWrap/>
        <w:topLinePunct w:val="0"/>
        <w:autoSpaceDE/>
        <w:autoSpaceDN/>
        <w:bidi w:val="0"/>
        <w:adjustRightInd/>
        <w:snapToGrid/>
        <w:spacing w:line="560" w:lineRule="exact"/>
        <w:ind w:left="0" w:right="0" w:rightChars="0" w:firstLine="640" w:firstLineChars="200"/>
        <w:contextualSpacing/>
        <w:textAlignment w:val="auto"/>
        <w:outlineLvl w:val="9"/>
        <w:rPr>
          <w:rFonts w:hint="eastAsia" w:ascii="方正仿宋_GBK" w:hAnsi="方正仿宋_GBK" w:eastAsia="方正仿宋_GBK" w:cs="方正仿宋_GBK"/>
          <w:color w:val="auto"/>
          <w:sz w:val="32"/>
          <w:szCs w:val="32"/>
          <w:lang w:eastAsia="zh-CN"/>
        </w:rPr>
      </w:pPr>
      <w:r>
        <w:rPr>
          <w:rFonts w:hint="eastAsia" w:ascii="仿宋_GB2312" w:hAnsi="仿宋_GB2312" w:eastAsia="仿宋_GB2312" w:cs="仿宋_GB2312"/>
          <w:color w:val="auto"/>
          <w:sz w:val="32"/>
          <w:szCs w:val="32"/>
          <w:lang w:val="en-US" w:eastAsia="zh-CN"/>
        </w:rPr>
        <w:t>起草过程中，市人力资源社会保障局充分研究人力资源社会保障系统行政许可、行政强制、行政确认、行政奖励、行政检查、行政处罚等工作实践及特点，综合考虑法定依据、法定程序、法定时限、行为性质等情况因素，通过梳理分析、研究讨论等方式，不断修改完善后形成目前的《征求意见稿》。</w:t>
      </w:r>
    </w:p>
    <w:p w14:paraId="722F5B43">
      <w:pPr>
        <w:keepNext w:val="0"/>
        <w:keepLines w:val="0"/>
        <w:pageBreakBefore w:val="0"/>
        <w:widowControl w:val="0"/>
        <w:kinsoku/>
        <w:wordWrap/>
        <w:topLinePunct w:val="0"/>
        <w:autoSpaceDE/>
        <w:autoSpaceDN/>
        <w:bidi w:val="0"/>
        <w:adjustRightInd/>
        <w:snapToGrid/>
        <w:spacing w:line="560" w:lineRule="exact"/>
        <w:ind w:left="0" w:right="0" w:rightChars="0" w:firstLine="640" w:firstLineChars="200"/>
        <w:textAlignment w:val="auto"/>
        <w:outlineLvl w:val="9"/>
        <w:rPr>
          <w:rFonts w:hint="eastAsia" w:ascii="黑体" w:hAnsi="黑体" w:eastAsia="黑体" w:cs="黑体"/>
          <w:color w:val="auto"/>
          <w:sz w:val="32"/>
          <w:szCs w:val="32"/>
        </w:rPr>
      </w:pPr>
      <w:r>
        <w:rPr>
          <w:rFonts w:hint="eastAsia" w:ascii="黑体" w:hAnsi="黑体" w:eastAsia="黑体" w:cs="黑体"/>
          <w:color w:val="auto"/>
          <w:sz w:val="32"/>
          <w:szCs w:val="32"/>
        </w:rPr>
        <w:t>四、主要内容</w:t>
      </w:r>
    </w:p>
    <w:bookmarkEnd w:id="0"/>
    <w:p w14:paraId="31610043">
      <w:pPr>
        <w:keepNext w:val="0"/>
        <w:keepLines w:val="0"/>
        <w:pageBreakBefore w:val="0"/>
        <w:widowControl w:val="0"/>
        <w:kinsoku/>
        <w:wordWrap/>
        <w:topLinePunct w:val="0"/>
        <w:autoSpaceDE/>
        <w:autoSpaceDN/>
        <w:bidi w:val="0"/>
        <w:adjustRightInd/>
        <w:snapToGrid/>
        <w:spacing w:line="560" w:lineRule="exact"/>
        <w:ind w:left="0" w:right="0" w:rightChars="0" w:firstLine="640" w:firstLineChars="200"/>
        <w:contextualSpacing/>
        <w:textAlignment w:val="auto"/>
        <w:outlineLvl w:val="9"/>
        <w:rPr>
          <w:rFonts w:hint="eastAsia" w:ascii="方正仿宋_GBK" w:hAnsi="方正仿宋_GBK" w:eastAsia="方正仿宋_GBK" w:cs="方正仿宋_GBK"/>
          <w:color w:val="auto"/>
          <w:sz w:val="32"/>
          <w:szCs w:val="32"/>
          <w:lang w:val="en-US" w:eastAsia="zh-CN"/>
        </w:rPr>
      </w:pPr>
      <w:r>
        <w:rPr>
          <w:rFonts w:hint="eastAsia" w:ascii="仿宋_GB2312" w:hAnsi="仿宋_GB2312" w:eastAsia="仿宋_GB2312" w:cs="仿宋_GB2312"/>
          <w:color w:val="auto"/>
          <w:sz w:val="32"/>
          <w:szCs w:val="32"/>
          <w:lang w:val="en-US" w:eastAsia="zh-CN"/>
        </w:rPr>
        <w:t>《征求意见稿》共计6类111项行政事项。对行政权力事项逐一细化、明确相关法定审批时限、办理条件、办件类型、申请材料等内容。同时优化简化办理流程，对能够压缩时限的许可事项，在法定办理时限内进行压缩量化。</w:t>
      </w:r>
    </w:p>
    <w:p w14:paraId="0E293277">
      <w:pPr>
        <w:numPr>
          <w:ilvl w:val="0"/>
          <w:numId w:val="0"/>
        </w:numPr>
        <w:spacing w:beforeLines="0" w:afterLines="0" w:line="560"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val="0"/>
          <w:color w:val="auto"/>
          <w:sz w:val="32"/>
          <w:szCs w:val="32"/>
          <w:lang w:eastAsia="zh-CN"/>
        </w:rPr>
        <w:t>（</w:t>
      </w:r>
      <w:r>
        <w:rPr>
          <w:rFonts w:hint="eastAsia" w:ascii="楷体_GB2312" w:hAnsi="楷体_GB2312" w:eastAsia="楷体_GB2312" w:cs="楷体_GB2312"/>
          <w:b w:val="0"/>
          <w:bCs w:val="0"/>
          <w:color w:val="auto"/>
          <w:sz w:val="32"/>
          <w:szCs w:val="32"/>
          <w:lang w:val="en-US" w:eastAsia="zh-CN"/>
        </w:rPr>
        <w:t>一</w:t>
      </w:r>
      <w:r>
        <w:rPr>
          <w:rFonts w:hint="eastAsia" w:ascii="楷体_GB2312" w:hAnsi="楷体_GB2312" w:eastAsia="楷体_GB2312" w:cs="楷体_GB2312"/>
          <w:b w:val="0"/>
          <w:bCs w:val="0"/>
          <w:color w:val="auto"/>
          <w:sz w:val="32"/>
          <w:szCs w:val="32"/>
          <w:lang w:eastAsia="zh-CN"/>
        </w:rPr>
        <w:t>）</w:t>
      </w:r>
      <w:r>
        <w:rPr>
          <w:rFonts w:hint="eastAsia" w:ascii="楷体_GB2312" w:hAnsi="楷体_GB2312" w:eastAsia="楷体_GB2312" w:cs="楷体_GB2312"/>
          <w:b w:val="0"/>
          <w:bCs w:val="0"/>
          <w:color w:val="auto"/>
          <w:sz w:val="32"/>
          <w:szCs w:val="32"/>
          <w:lang w:val="en-US" w:eastAsia="zh-CN"/>
        </w:rPr>
        <w:t>行政许可事项1项。</w:t>
      </w:r>
      <w:r>
        <w:rPr>
          <w:rFonts w:hint="eastAsia" w:ascii="方正仿宋_GBK" w:hAnsi="方正仿宋_GBK" w:eastAsia="方正仿宋_GBK" w:cs="方正仿宋_GBK"/>
          <w:color w:val="auto"/>
          <w:sz w:val="32"/>
          <w:szCs w:val="32"/>
          <w:lang w:val="en-US" w:eastAsia="zh-CN"/>
        </w:rPr>
        <w:t>主</w:t>
      </w:r>
      <w:r>
        <w:rPr>
          <w:rFonts w:hint="eastAsia" w:ascii="仿宋_GB2312" w:hAnsi="仿宋_GB2312" w:eastAsia="仿宋_GB2312" w:cs="仿宋_GB2312"/>
          <w:color w:val="auto"/>
          <w:sz w:val="32"/>
          <w:szCs w:val="32"/>
          <w:lang w:val="en-US" w:eastAsia="zh-CN"/>
        </w:rPr>
        <w:t>要为外国人来华工作许可（C类）事项。依据《中华人民共和国出境入境管理法》《外国人在中国就业管理规定》等法律法规规章设定，明确行政许可实施层级、办理时限、申请材料、办理流程等内容。</w:t>
      </w:r>
    </w:p>
    <w:p w14:paraId="34C74075">
      <w:pPr>
        <w:numPr>
          <w:ilvl w:val="0"/>
          <w:numId w:val="0"/>
        </w:numPr>
        <w:spacing w:beforeLines="0" w:afterLines="0" w:line="560"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（二）行政强制事项3项。</w:t>
      </w:r>
      <w:r>
        <w:rPr>
          <w:rFonts w:hint="eastAsia" w:ascii="仿宋_GB2312" w:hAnsi="仿宋_GB2312" w:eastAsia="仿宋_GB2312" w:cs="仿宋_GB2312"/>
          <w:color w:val="auto"/>
          <w:sz w:val="32"/>
          <w:szCs w:val="32"/>
          <w:lang w:val="en-US" w:eastAsia="zh-CN"/>
        </w:rPr>
        <w:t>主要为社保基金行政监督、劳动保障监察执法中对涉事资料、物品进行封存，当事人不履行给付义务实施加处罚款等事项。依据《中华人民共和国社会保险法》《中华人民共和国行政强制法》《关于实施&lt;劳动保障监察条例&gt;若干规定》等法律法规规章设定，明确行政强制适用的条件、方式、程序等内容。</w:t>
      </w:r>
    </w:p>
    <w:p w14:paraId="685E46F4">
      <w:pPr>
        <w:numPr>
          <w:ilvl w:val="0"/>
          <w:numId w:val="0"/>
        </w:numPr>
        <w:spacing w:beforeLines="0" w:afterLines="0" w:line="560"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（三）行政确认事项3项</w:t>
      </w:r>
      <w:r>
        <w:rPr>
          <w:rFonts w:hint="eastAsia" w:ascii="方正仿宋_GBK" w:hAnsi="方正仿宋_GBK" w:eastAsia="方正仿宋_GBK" w:cs="方正仿宋_GBK"/>
          <w:color w:val="auto"/>
          <w:sz w:val="32"/>
          <w:szCs w:val="32"/>
          <w:lang w:val="en-US" w:eastAsia="zh-CN"/>
        </w:rPr>
        <w:t>。</w:t>
      </w:r>
      <w:r>
        <w:rPr>
          <w:rFonts w:hint="eastAsia" w:ascii="仿宋_GB2312" w:hAnsi="仿宋_GB2312" w:eastAsia="仿宋_GB2312" w:cs="仿宋_GB2312"/>
          <w:color w:val="auto"/>
          <w:sz w:val="32"/>
          <w:szCs w:val="32"/>
          <w:lang w:val="en-US" w:eastAsia="zh-CN"/>
        </w:rPr>
        <w:t>主要为到龄退休、特殊工种退休、工伤认定等事项。依据《中华人民共和国社会保险法》《工伤保险条例》等法律法规规章设定，明确行政确认的条件、程序、申请材料、办理时限等内容。</w:t>
      </w:r>
    </w:p>
    <w:p w14:paraId="34EE521E">
      <w:pPr>
        <w:numPr>
          <w:ilvl w:val="0"/>
          <w:numId w:val="0"/>
        </w:numPr>
        <w:spacing w:beforeLines="0" w:afterLines="0" w:line="560"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（四）行政奖励事项2项。</w:t>
      </w:r>
      <w:r>
        <w:rPr>
          <w:rFonts w:hint="eastAsia" w:ascii="仿宋_GB2312" w:hAnsi="仿宋_GB2312" w:eastAsia="仿宋_GB2312" w:cs="仿宋_GB2312"/>
          <w:color w:val="auto"/>
          <w:sz w:val="32"/>
          <w:szCs w:val="32"/>
          <w:lang w:val="en-US" w:eastAsia="zh-CN"/>
        </w:rPr>
        <w:t>主要为社保基金、劳动保障执法举报奖励事项。依据《社会保险基金监督举报工作管理办法》《劳动保障监察条例》《关于实施&lt;劳动保障监察条例&gt;若干规定》等法律法规规章设定，明确行政奖励的适用条件、奖励数额、方式、程序等内容。</w:t>
      </w:r>
    </w:p>
    <w:p w14:paraId="3C1E9B81">
      <w:pPr>
        <w:numPr>
          <w:ilvl w:val="0"/>
          <w:numId w:val="0"/>
        </w:numPr>
        <w:spacing w:beforeLines="0" w:afterLines="0" w:line="560" w:lineRule="exact"/>
        <w:ind w:firstLine="640" w:firstLineChars="200"/>
        <w:jc w:val="both"/>
        <w:rPr>
          <w:rFonts w:hint="default"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（五）行政检查事项35项。</w:t>
      </w:r>
      <w:r>
        <w:rPr>
          <w:rFonts w:hint="eastAsia" w:ascii="仿宋_GB2312" w:hAnsi="仿宋_GB2312" w:eastAsia="仿宋_GB2312" w:cs="仿宋_GB2312"/>
          <w:color w:val="auto"/>
          <w:sz w:val="32"/>
          <w:szCs w:val="32"/>
          <w:lang w:val="en-US" w:eastAsia="zh-CN"/>
        </w:rPr>
        <w:t>主要为对用人单位、职业中介机构、人力资源服务机构、劳务派遣机构、职业培训机构等遵守劳动保障法律法规规章的监督检查等事项。依据《中华人民共和国就业促进法》《中华人民共和国劳动法》《中华人民共和国劳动合同法》《中华人民共和国社会保险法》《人力资源市场暂行条例》《劳动保障监察条例》《保障农民工工资支付条例》等法律法规规章设定，明确行政检查的重点内容、裁量因素、检查频次、例外情形等内容。参考《人力资源和社会保障部关于严格规范人力资源和社会保障领域涉企行政检查的通知》《企业劳动保障守法诚信等级评价办法》《山东省企业劳动保障守法诚信等级评价办法》等政策文件，认真梳理行政检查事项清单，科学设定裁量基准和检查频次。</w:t>
      </w:r>
    </w:p>
    <w:p w14:paraId="34CB4713">
      <w:pPr>
        <w:keepNext w:val="0"/>
        <w:keepLines w:val="0"/>
        <w:pageBreakBefore w:val="0"/>
        <w:widowControl w:val="0"/>
        <w:kinsoku/>
        <w:wordWrap/>
        <w:topLinePunct w:val="0"/>
        <w:autoSpaceDE/>
        <w:autoSpaceDN/>
        <w:bidi w:val="0"/>
        <w:adjustRightInd/>
        <w:snapToGrid/>
        <w:spacing w:line="560" w:lineRule="exact"/>
        <w:ind w:left="0" w:right="0" w:rightChars="0" w:firstLine="640" w:firstLineChars="200"/>
        <w:contextualSpacing/>
        <w:textAlignment w:val="auto"/>
        <w:outlineLvl w:val="9"/>
        <w:rPr>
          <w:rFonts w:hint="default"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（六）不予处罚（从轻处罚）事项67项，</w:t>
      </w:r>
      <w:r>
        <w:rPr>
          <w:rFonts w:hint="eastAsia" w:ascii="仿宋_GB2312" w:hAnsi="仿宋_GB2312" w:eastAsia="仿宋_GB2312" w:cs="仿宋_GB2312"/>
          <w:color w:val="auto"/>
          <w:sz w:val="32"/>
          <w:szCs w:val="32"/>
          <w:lang w:val="en-US" w:eastAsia="zh-CN"/>
        </w:rPr>
        <w:t>主要是对全市人力资源社会保障系统行政处罚裁量基准进行细化完善，依据《中华人民共和国行政处罚法》《中华人民共和国劳动法》《中华人民共和国劳动合同法》《劳动保障监察条例》等法律法规规章设定，明确了不予处罚、从轻处罚的情形和条件，指导全市人社系统行政执法人员依法规范适用《中华人民共和国行政处罚法》第三十二条、三十三条的规定，确保过罚相当、宽严相济，避免“一刀切”式执法。</w:t>
      </w:r>
    </w:p>
    <w:sectPr>
      <w:headerReference r:id="rId3" w:type="default"/>
      <w:footerReference r:id="rId4"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CE6E0B4-2DC2-4CE9-A274-AF7D007C548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embedRegular r:id="rId2" w:fontKey="{89CBCF0A-EEF5-43A6-B21C-2897194366A3}"/>
  </w:font>
  <w:font w:name="FSJ-PK74820000008-Identity-H">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embedRegular r:id="rId3" w:fontKey="{40FBA73B-6AB4-4DD4-A6AA-2395802C4C9A}"/>
  </w:font>
  <w:font w:name="方正小标宋简体">
    <w:panose1 w:val="03000509000000000000"/>
    <w:charset w:val="86"/>
    <w:family w:val="script"/>
    <w:pitch w:val="default"/>
    <w:sig w:usb0="00000001" w:usb1="080E0000" w:usb2="00000000" w:usb3="00000000" w:csb0="00040000" w:csb1="00000000"/>
    <w:embedRegular r:id="rId4" w:fontKey="{F7513A0D-EFAC-4EAD-ABD1-8DB70FD92D38}"/>
  </w:font>
  <w:font w:name="仿宋">
    <w:panose1 w:val="02010609060101010101"/>
    <w:charset w:val="86"/>
    <w:family w:val="auto"/>
    <w:pitch w:val="default"/>
    <w:sig w:usb0="800002BF" w:usb1="38CF7CFA" w:usb2="00000016" w:usb3="00000000" w:csb0="00040001" w:csb1="00000000"/>
    <w:embedRegular r:id="rId5" w:fontKey="{24C66EFD-A7D6-416B-A674-C8CE30882E68}"/>
  </w:font>
  <w:font w:name="仿宋_GB2312">
    <w:panose1 w:val="02010609030101010101"/>
    <w:charset w:val="86"/>
    <w:family w:val="auto"/>
    <w:pitch w:val="default"/>
    <w:sig w:usb0="00000001" w:usb1="080E0000" w:usb2="00000000" w:usb3="00000000" w:csb0="00040000" w:csb1="00000000"/>
    <w:embedRegular r:id="rId6" w:fontKey="{0E19F03C-B736-4B4A-9FD4-FB3E00A2B096}"/>
  </w:font>
  <w:font w:name="楷体_GB2312">
    <w:panose1 w:val="02010609030101010101"/>
    <w:charset w:val="86"/>
    <w:family w:val="auto"/>
    <w:pitch w:val="default"/>
    <w:sig w:usb0="00000001" w:usb1="080E0000" w:usb2="00000000" w:usb3="00000000" w:csb0="00040000" w:csb1="00000000"/>
    <w:embedRegular r:id="rId7" w:fontKey="{827823BC-C5D8-4DE4-8AFC-8B0B85706F7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5814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00F8A9">
                          <w:pPr>
                            <w:pStyle w:val="3"/>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  \* MERGEFORMAT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800F8A9">
                    <w:pPr>
                      <w:pStyle w:val="3"/>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  \* MERGEFORMAT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sz w:val="32"/>
                        <w:szCs w:val="32"/>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8C057">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hYTNmMDk4MGZmNzEzNmI0OTQ1YTA3NDQ4MjYxMTYifQ=="/>
  </w:docVars>
  <w:rsids>
    <w:rsidRoot w:val="574A2A57"/>
    <w:rsid w:val="008B73C2"/>
    <w:rsid w:val="00CB7ADB"/>
    <w:rsid w:val="0830746D"/>
    <w:rsid w:val="0BD10644"/>
    <w:rsid w:val="0D8E6743"/>
    <w:rsid w:val="0E1704E7"/>
    <w:rsid w:val="104B26C9"/>
    <w:rsid w:val="12DC42F6"/>
    <w:rsid w:val="167209B0"/>
    <w:rsid w:val="17BFEC35"/>
    <w:rsid w:val="1A163D92"/>
    <w:rsid w:val="1BA01B1B"/>
    <w:rsid w:val="1DD41F50"/>
    <w:rsid w:val="1EAF7CA6"/>
    <w:rsid w:val="1EB61656"/>
    <w:rsid w:val="22FD035A"/>
    <w:rsid w:val="279576AB"/>
    <w:rsid w:val="27ADE119"/>
    <w:rsid w:val="285D3AC3"/>
    <w:rsid w:val="28E23DB7"/>
    <w:rsid w:val="2D5B1D46"/>
    <w:rsid w:val="314B666A"/>
    <w:rsid w:val="35866353"/>
    <w:rsid w:val="3B2FB55B"/>
    <w:rsid w:val="3C7945E5"/>
    <w:rsid w:val="3E2A2016"/>
    <w:rsid w:val="3FFB705E"/>
    <w:rsid w:val="401A15ED"/>
    <w:rsid w:val="40A92345"/>
    <w:rsid w:val="41CF2AA3"/>
    <w:rsid w:val="433400A4"/>
    <w:rsid w:val="43A7763B"/>
    <w:rsid w:val="474803F0"/>
    <w:rsid w:val="49260D81"/>
    <w:rsid w:val="4D1B2450"/>
    <w:rsid w:val="4DFC2655"/>
    <w:rsid w:val="4E6057AE"/>
    <w:rsid w:val="4FF72718"/>
    <w:rsid w:val="501C315F"/>
    <w:rsid w:val="50D61560"/>
    <w:rsid w:val="52386CDE"/>
    <w:rsid w:val="574A2A57"/>
    <w:rsid w:val="57A557E8"/>
    <w:rsid w:val="57BC20B3"/>
    <w:rsid w:val="58CA5B28"/>
    <w:rsid w:val="59E31A85"/>
    <w:rsid w:val="5E2400B3"/>
    <w:rsid w:val="5F3AC9F3"/>
    <w:rsid w:val="61575481"/>
    <w:rsid w:val="61ED495B"/>
    <w:rsid w:val="63536A40"/>
    <w:rsid w:val="63D37CA5"/>
    <w:rsid w:val="64723019"/>
    <w:rsid w:val="65554CF2"/>
    <w:rsid w:val="66A905FA"/>
    <w:rsid w:val="66B8408B"/>
    <w:rsid w:val="677F9337"/>
    <w:rsid w:val="6828443E"/>
    <w:rsid w:val="68D92EC5"/>
    <w:rsid w:val="6AF7F654"/>
    <w:rsid w:val="6C847C6A"/>
    <w:rsid w:val="6C9E6F7E"/>
    <w:rsid w:val="6D2D20B0"/>
    <w:rsid w:val="6D511AC2"/>
    <w:rsid w:val="6D521B17"/>
    <w:rsid w:val="70590A32"/>
    <w:rsid w:val="73FF4DD7"/>
    <w:rsid w:val="767ED22E"/>
    <w:rsid w:val="785250C1"/>
    <w:rsid w:val="79F04B91"/>
    <w:rsid w:val="79FA31B3"/>
    <w:rsid w:val="7A886A7F"/>
    <w:rsid w:val="7A903828"/>
    <w:rsid w:val="7B471E1D"/>
    <w:rsid w:val="7C2274E8"/>
    <w:rsid w:val="7CFFC09E"/>
    <w:rsid w:val="7DEEBA58"/>
    <w:rsid w:val="7E0D3F64"/>
    <w:rsid w:val="7E307E13"/>
    <w:rsid w:val="A0F975A7"/>
    <w:rsid w:val="AEFF0D8F"/>
    <w:rsid w:val="B6BF697B"/>
    <w:rsid w:val="BA3F0E43"/>
    <w:rsid w:val="BAEB4E28"/>
    <w:rsid w:val="BB3EAE87"/>
    <w:rsid w:val="BCF75280"/>
    <w:rsid w:val="CFFB38C7"/>
    <w:rsid w:val="DFEFF29F"/>
    <w:rsid w:val="EBEF1618"/>
    <w:rsid w:val="F0FF8C77"/>
    <w:rsid w:val="F7EFC1F6"/>
    <w:rsid w:val="FF6C48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rFonts w:ascii="Calibri" w:hAnsi="Calibri"/>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8">
    <w:name w:val="fontstyle11"/>
    <w:qFormat/>
    <w:uiPriority w:val="0"/>
    <w:rPr>
      <w:rFonts w:ascii="方正仿宋_GBK" w:hAnsi="FSJ-PK74820000008-Identity-H" w:eastAsia="方正仿宋_GBK" w:cs="FSJ-PK74820000008-Identity-H"/>
      <w:color w:val="000000"/>
      <w:spacing w:val="0"/>
      <w:w w:val="100"/>
      <w:position w:val="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1855</Words>
  <Characters>1867</Characters>
  <Lines>0</Lines>
  <Paragraphs>0</Paragraphs>
  <TotalTime>1</TotalTime>
  <ScaleCrop>false</ScaleCrop>
  <LinksUpToDate>false</LinksUpToDate>
  <CharactersWithSpaces>1871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2025-01-23T09:20:00Z</dcterms:created>
  <dc:creator>dh</dc:creator>
  <cp:lastModifiedBy>相识的人</cp:lastModifiedBy>
  <cp:lastPrinted>2025-03-04T09:18:00Z</cp:lastPrinted>
  <dcterms:modified xsi:type="dcterms:W3CDTF">2026-08-31T03:35:48Z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B35FE565E8BC4264981B6E49E4352F56_12</vt:lpwstr>
  </property>
  <property fmtid="{D5CDD505-2E9C-101B-9397-08002B2CF9AE}" pid="4" name="KSOTemplateDocerSaveRecord">
    <vt:lpwstr>eyJoZGlkIjoiMTM3ZGE1Mjc5ZWNkN2RiYjQ4ZGZmYzQ3MDZmY2U2MDQiLCJ1c2VySWQiOiIzNjg3MjgyNjYifQ==</vt:lpwstr>
  </property>
</Properties>
</file>