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80"/>
        </w:tabs>
        <w:jc w:val="center"/>
        <w:rPr>
          <w:rFonts w:ascii="方正小标宋简体" w:hAnsi="仿宋" w:eastAsia="方正小标宋简体"/>
          <w:b/>
          <w:color w:val="000000" w:themeColor="text1"/>
          <w:sz w:val="44"/>
          <w:szCs w:val="44"/>
          <w14:textFill>
            <w14:solidFill>
              <w14:schemeClr w14:val="tx1"/>
            </w14:solidFill>
          </w14:textFill>
        </w:rPr>
      </w:pPr>
      <w:r>
        <w:rPr>
          <w:rFonts w:hint="eastAsia" w:ascii="方正小标宋简体" w:hAnsi="仿宋" w:eastAsia="方正小标宋简体"/>
          <w:b/>
          <w:color w:val="000000" w:themeColor="text1"/>
          <w:sz w:val="44"/>
          <w:szCs w:val="44"/>
          <w14:textFill>
            <w14:solidFill>
              <w14:schemeClr w14:val="tx1"/>
            </w14:solidFill>
          </w14:textFill>
        </w:rPr>
        <w:drawing>
          <wp:inline distT="0" distB="0" distL="114300" distR="114300">
            <wp:extent cx="2187575" cy="2525395"/>
            <wp:effectExtent l="0" t="0" r="3175" b="8255"/>
            <wp:docPr id="7" name="图片 7" descr="“技能青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技能青岛”logo"/>
                    <pic:cNvPicPr>
                      <a:picLocks noChangeAspect="1"/>
                    </pic:cNvPicPr>
                  </pic:nvPicPr>
                  <pic:blipFill>
                    <a:blip r:embed="rId8" cstate="print"/>
                    <a:stretch>
                      <a:fillRect/>
                    </a:stretch>
                  </pic:blipFill>
                  <pic:spPr>
                    <a:xfrm>
                      <a:off x="0" y="0"/>
                      <a:ext cx="2187575" cy="2525395"/>
                    </a:xfrm>
                    <a:prstGeom prst="rect">
                      <a:avLst/>
                    </a:prstGeom>
                  </pic:spPr>
                </pic:pic>
              </a:graphicData>
            </a:graphic>
          </wp:inline>
        </w:drawing>
      </w:r>
    </w:p>
    <w:p>
      <w:pPr>
        <w:tabs>
          <w:tab w:val="left" w:pos="4680"/>
        </w:tabs>
        <w:jc w:val="center"/>
        <w:rPr>
          <w:rFonts w:ascii="方正小标宋简体" w:hAnsi="仿宋" w:eastAsia="方正小标宋简体"/>
          <w:color w:val="000000" w:themeColor="text1"/>
          <w14:textFill>
            <w14:solidFill>
              <w14:schemeClr w14:val="tx1"/>
            </w14:solidFill>
          </w14:textFill>
        </w:rPr>
      </w:pPr>
      <w:r>
        <w:rPr>
          <w:rFonts w:hint="eastAsia" w:ascii="方正小标宋简体" w:hAnsi="仿宋" w:eastAsia="方正小标宋简体"/>
          <w:b/>
          <w:color w:val="000000" w:themeColor="text1"/>
          <w:sz w:val="44"/>
          <w:szCs w:val="44"/>
          <w14:textFill>
            <w14:solidFill>
              <w14:schemeClr w14:val="tx1"/>
            </w14:solidFill>
          </w14:textFill>
        </w:rPr>
        <w:t>青岛市第十五届职业技能大赛</w:t>
      </w:r>
    </w:p>
    <w:p>
      <w:pPr>
        <w:tabs>
          <w:tab w:val="left" w:pos="4680"/>
        </w:tabs>
        <w:snapToGrid w:val="0"/>
        <w:jc w:val="center"/>
        <w:rPr>
          <w:rFonts w:ascii="方正小标宋简体" w:hAnsi="仿宋" w:eastAsia="方正小标宋简体"/>
          <w:b/>
          <w:color w:val="000000" w:themeColor="text1"/>
          <w:sz w:val="30"/>
          <w:szCs w:val="30"/>
          <w14:textFill>
            <w14:solidFill>
              <w14:schemeClr w14:val="tx1"/>
            </w14:solidFill>
          </w14:textFill>
        </w:rPr>
      </w:pPr>
    </w:p>
    <w:p>
      <w:pPr>
        <w:tabs>
          <w:tab w:val="left" w:pos="4680"/>
        </w:tabs>
        <w:jc w:val="center"/>
        <w:rPr>
          <w:rFonts w:ascii="方正小标宋简体" w:hAnsi="仿宋" w:eastAsia="方正小标宋简体"/>
          <w:b/>
          <w:color w:val="000000" w:themeColor="text1"/>
          <w:sz w:val="44"/>
          <w:szCs w:val="44"/>
          <w14:textFill>
            <w14:solidFill>
              <w14:schemeClr w14:val="tx1"/>
            </w14:solidFill>
          </w14:textFill>
        </w:rPr>
      </w:pPr>
      <w:r>
        <w:rPr>
          <w:rFonts w:hint="eastAsia" w:ascii="方正小标宋简体" w:hAnsi="仿宋" w:eastAsia="方正小标宋简体"/>
          <w:b/>
          <w:color w:val="000000" w:themeColor="text1"/>
          <w:sz w:val="44"/>
          <w:szCs w:val="44"/>
          <w14:textFill>
            <w14:solidFill>
              <w14:schemeClr w14:val="tx1"/>
            </w14:solidFill>
          </w14:textFill>
        </w:rPr>
        <w:t>内燃港机装卸机械司机项目</w:t>
      </w:r>
    </w:p>
    <w:p>
      <w:pPr>
        <w:tabs>
          <w:tab w:val="left" w:pos="4680"/>
        </w:tabs>
        <w:jc w:val="center"/>
        <w:rPr>
          <w:rFonts w:ascii="仿宋" w:hAnsi="仿宋" w:eastAsia="仿宋"/>
          <w:b/>
          <w:color w:val="000000" w:themeColor="text1"/>
          <w:sz w:val="44"/>
          <w:szCs w:val="44"/>
          <w14:textFill>
            <w14:solidFill>
              <w14:schemeClr w14:val="tx1"/>
            </w14:solidFill>
          </w14:textFill>
        </w:rPr>
      </w:pPr>
    </w:p>
    <w:p>
      <w:pPr>
        <w:tabs>
          <w:tab w:val="left" w:pos="4680"/>
        </w:tabs>
        <w:jc w:val="center"/>
        <w:rPr>
          <w:rFonts w:ascii="方正小标宋简体" w:hAnsi="仿宋" w:eastAsia="方正小标宋简体"/>
          <w:b/>
          <w:color w:val="000000" w:themeColor="text1"/>
          <w:sz w:val="52"/>
          <w:szCs w:val="52"/>
          <w14:textFill>
            <w14:solidFill>
              <w14:schemeClr w14:val="tx1"/>
            </w14:solidFill>
          </w14:textFill>
        </w:rPr>
      </w:pPr>
      <w:r>
        <w:rPr>
          <w:rFonts w:hint="eastAsia" w:ascii="方正小标宋简体" w:hAnsi="仿宋" w:eastAsia="方正小标宋简体"/>
          <w:b/>
          <w:color w:val="000000" w:themeColor="text1"/>
          <w:sz w:val="52"/>
          <w:szCs w:val="52"/>
          <w14:textFill>
            <w14:solidFill>
              <w14:schemeClr w14:val="tx1"/>
            </w14:solidFill>
          </w14:textFill>
        </w:rPr>
        <w:t>技</w:t>
      </w:r>
    </w:p>
    <w:p>
      <w:pPr>
        <w:tabs>
          <w:tab w:val="left" w:pos="4680"/>
        </w:tabs>
        <w:jc w:val="center"/>
        <w:rPr>
          <w:rFonts w:ascii="方正小标宋简体" w:hAnsi="仿宋" w:eastAsia="方正小标宋简体"/>
          <w:b/>
          <w:color w:val="000000" w:themeColor="text1"/>
          <w:sz w:val="52"/>
          <w:szCs w:val="52"/>
          <w14:textFill>
            <w14:solidFill>
              <w14:schemeClr w14:val="tx1"/>
            </w14:solidFill>
          </w14:textFill>
        </w:rPr>
      </w:pPr>
      <w:r>
        <w:rPr>
          <w:rFonts w:hint="eastAsia" w:ascii="方正小标宋简体" w:hAnsi="仿宋" w:eastAsia="方正小标宋简体"/>
          <w:b/>
          <w:color w:val="000000" w:themeColor="text1"/>
          <w:sz w:val="52"/>
          <w:szCs w:val="52"/>
          <w14:textFill>
            <w14:solidFill>
              <w14:schemeClr w14:val="tx1"/>
            </w14:solidFill>
          </w14:textFill>
        </w:rPr>
        <w:t>术</w:t>
      </w:r>
    </w:p>
    <w:p>
      <w:pPr>
        <w:tabs>
          <w:tab w:val="left" w:pos="4680"/>
        </w:tabs>
        <w:jc w:val="center"/>
        <w:rPr>
          <w:rFonts w:ascii="方正小标宋简体" w:hAnsi="仿宋" w:eastAsia="方正小标宋简体"/>
          <w:b/>
          <w:color w:val="000000" w:themeColor="text1"/>
          <w:sz w:val="52"/>
          <w:szCs w:val="52"/>
          <w14:textFill>
            <w14:solidFill>
              <w14:schemeClr w14:val="tx1"/>
            </w14:solidFill>
          </w14:textFill>
        </w:rPr>
      </w:pPr>
      <w:r>
        <w:rPr>
          <w:rFonts w:hint="eastAsia" w:ascii="方正小标宋简体" w:hAnsi="仿宋" w:eastAsia="方正小标宋简体"/>
          <w:b/>
          <w:color w:val="000000" w:themeColor="text1"/>
          <w:sz w:val="52"/>
          <w:szCs w:val="52"/>
          <w14:textFill>
            <w14:solidFill>
              <w14:schemeClr w14:val="tx1"/>
            </w14:solidFill>
          </w14:textFill>
        </w:rPr>
        <w:t>文</w:t>
      </w:r>
    </w:p>
    <w:p>
      <w:pPr>
        <w:tabs>
          <w:tab w:val="left" w:pos="4680"/>
        </w:tabs>
        <w:jc w:val="center"/>
        <w:rPr>
          <w:rFonts w:ascii="方正小标宋简体" w:hAnsi="仿宋" w:eastAsia="方正小标宋简体"/>
          <w:b/>
          <w:color w:val="000000" w:themeColor="text1"/>
          <w:sz w:val="52"/>
          <w:szCs w:val="52"/>
          <w14:textFill>
            <w14:solidFill>
              <w14:schemeClr w14:val="tx1"/>
            </w14:solidFill>
          </w14:textFill>
        </w:rPr>
      </w:pPr>
      <w:r>
        <w:rPr>
          <w:rFonts w:hint="eastAsia" w:ascii="方正小标宋简体" w:hAnsi="仿宋" w:eastAsia="方正小标宋简体"/>
          <w:b/>
          <w:color w:val="000000" w:themeColor="text1"/>
          <w:sz w:val="52"/>
          <w:szCs w:val="52"/>
          <w14:textFill>
            <w14:solidFill>
              <w14:schemeClr w14:val="tx1"/>
            </w14:solidFill>
          </w14:textFill>
        </w:rPr>
        <w:t>件</w:t>
      </w:r>
    </w:p>
    <w:p>
      <w:pPr>
        <w:tabs>
          <w:tab w:val="left" w:pos="4680"/>
        </w:tabs>
        <w:rPr>
          <w:rFonts w:ascii="仿宋_GB2312" w:hAnsi="仿宋" w:eastAsia="仿宋_GB2312"/>
          <w:b/>
          <w:color w:val="000000" w:themeColor="text1"/>
          <w:sz w:val="28"/>
          <w:szCs w:val="28"/>
          <w14:textFill>
            <w14:solidFill>
              <w14:schemeClr w14:val="tx1"/>
            </w14:solidFill>
          </w14:textFill>
        </w:rPr>
      </w:pPr>
    </w:p>
    <w:p>
      <w:pPr>
        <w:tabs>
          <w:tab w:val="left" w:pos="4680"/>
        </w:tabs>
        <w:spacing w:after="100" w:line="4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青岛市第十五届职业技能大赛</w:t>
      </w:r>
    </w:p>
    <w:p>
      <w:pPr>
        <w:tabs>
          <w:tab w:val="left" w:pos="4680"/>
        </w:tabs>
        <w:spacing w:after="100" w:line="4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青岛港赛区组委会</w:t>
      </w:r>
    </w:p>
    <w:p>
      <w:pPr>
        <w:tabs>
          <w:tab w:val="left" w:pos="4680"/>
        </w:tabs>
        <w:spacing w:after="100" w:line="4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2019年</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val="en-US" w:eastAsia="zh-CN"/>
        </w:rPr>
        <w:t>20</w:t>
      </w:r>
      <w:r>
        <w:rPr>
          <w:rFonts w:hint="eastAsia" w:ascii="仿宋_GB2312" w:hAnsi="仿宋_GB2312" w:eastAsia="仿宋_GB2312" w:cs="仿宋_GB2312"/>
          <w:b/>
          <w:sz w:val="32"/>
          <w:szCs w:val="32"/>
        </w:rPr>
        <w:t>日</w:t>
      </w:r>
    </w:p>
    <w:p>
      <w:pPr>
        <w:tabs>
          <w:tab w:val="left" w:pos="4680"/>
        </w:tabs>
        <w:jc w:val="center"/>
        <w:rPr>
          <w:rFonts w:ascii="仿宋" w:hAnsi="仿宋" w:eastAsia="仿宋"/>
          <w:b/>
          <w:color w:val="000000" w:themeColor="text1"/>
          <w:sz w:val="32"/>
          <w:szCs w:val="32"/>
          <w14:textFill>
            <w14:solidFill>
              <w14:schemeClr w14:val="tx1"/>
            </w14:solidFill>
          </w14:textFill>
        </w:rPr>
        <w:sectPr>
          <w:footerReference r:id="rId3" w:type="default"/>
          <w:footerReference r:id="rId4" w:type="even"/>
          <w:pgSz w:w="11906" w:h="16838"/>
          <w:pgMar w:top="1701" w:right="1644" w:bottom="1701" w:left="1644" w:header="851" w:footer="992" w:gutter="0"/>
          <w:pgNumType w:fmt="numberInDash"/>
          <w:cols w:space="720" w:num="1"/>
          <w:docGrid w:type="lines" w:linePitch="312" w:charSpace="0"/>
        </w:sectPr>
      </w:pPr>
      <w:bookmarkStart w:id="25" w:name="_GoBack"/>
      <w:bookmarkEnd w:id="25"/>
    </w:p>
    <w:p>
      <w:pPr>
        <w:pStyle w:val="26"/>
        <w:jc w:val="center"/>
        <w:rPr>
          <w:rFonts w:ascii="仿宋" w:hAnsi="仿宋" w:eastAsia="仿宋"/>
          <w:b w:val="0"/>
          <w:color w:val="000000" w:themeColor="text1"/>
          <w:sz w:val="32"/>
          <w:szCs w:val="32"/>
          <w:lang w:val="zh-CN"/>
          <w14:textFill>
            <w14:solidFill>
              <w14:schemeClr w14:val="tx1"/>
            </w14:solidFill>
          </w14:textFill>
        </w:rPr>
      </w:pPr>
      <w:r>
        <w:rPr>
          <w:rFonts w:ascii="仿宋" w:hAnsi="仿宋" w:eastAsia="仿宋"/>
          <w:b w:val="0"/>
          <w:color w:val="000000" w:themeColor="text1"/>
          <w:sz w:val="32"/>
          <w:szCs w:val="32"/>
          <w:lang w:val="zh-CN"/>
          <w14:textFill>
            <w14:solidFill>
              <w14:schemeClr w14:val="tx1"/>
            </w14:solidFill>
          </w14:textFill>
        </w:rPr>
        <w:t>目</w:t>
      </w:r>
      <w:r>
        <w:rPr>
          <w:rFonts w:hint="eastAsia" w:ascii="仿宋" w:hAnsi="仿宋" w:eastAsia="仿宋"/>
          <w:b w:val="0"/>
          <w:color w:val="000000" w:themeColor="text1"/>
          <w:sz w:val="32"/>
          <w:szCs w:val="32"/>
          <w:lang w:val="zh-CN"/>
          <w14:textFill>
            <w14:solidFill>
              <w14:schemeClr w14:val="tx1"/>
            </w14:solidFill>
          </w14:textFill>
        </w:rPr>
        <w:t xml:space="preserve"> </w:t>
      </w:r>
      <w:r>
        <w:rPr>
          <w:rFonts w:ascii="仿宋" w:hAnsi="仿宋" w:eastAsia="仿宋"/>
          <w:b w:val="0"/>
          <w:color w:val="000000" w:themeColor="text1"/>
          <w:sz w:val="32"/>
          <w:szCs w:val="32"/>
          <w:lang w:val="zh-CN"/>
          <w14:textFill>
            <w14:solidFill>
              <w14:schemeClr w14:val="tx1"/>
            </w14:solidFill>
          </w14:textFill>
        </w:rPr>
        <w:t xml:space="preserve"> 录</w:t>
      </w:r>
    </w:p>
    <w:p>
      <w:pPr>
        <w:rPr>
          <w:color w:val="000000" w:themeColor="text1"/>
          <w:lang w:val="zh-CN"/>
          <w14:textFill>
            <w14:solidFill>
              <w14:schemeClr w14:val="tx1"/>
            </w14:solidFill>
          </w14:textFill>
        </w:rPr>
      </w:pP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TOC \o "1-3" \h \z \u </w:instrText>
      </w:r>
      <w:r>
        <w:rPr>
          <w:rFonts w:ascii="宋体" w:hAnsi="宋体" w:eastAsia="宋体"/>
          <w:color w:val="000000" w:themeColor="text1"/>
          <w14:textFill>
            <w14:solidFill>
              <w14:schemeClr w14:val="tx1"/>
            </w14:solidFill>
          </w14:textFill>
        </w:rPr>
        <w:fldChar w:fldCharType="separate"/>
      </w:r>
      <w:r>
        <w:fldChar w:fldCharType="begin"/>
      </w:r>
      <w:r>
        <w:instrText xml:space="preserve"> HYPERLINK \l "_Toc532916367" </w:instrText>
      </w:r>
      <w:r>
        <w:fldChar w:fldCharType="separate"/>
      </w:r>
      <w:r>
        <w:rPr>
          <w:rFonts w:ascii="宋体" w:hAnsi="宋体" w:eastAsia="宋体"/>
          <w:color w:val="000000" w:themeColor="text1"/>
          <w14:textFill>
            <w14:solidFill>
              <w14:schemeClr w14:val="tx1"/>
            </w14:solidFill>
          </w14:textFill>
        </w:rPr>
        <w:t>1. 内燃港机装卸机械司机竞赛项目描述</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_Toc532916367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"_Toc532916368" </w:instrText>
      </w:r>
      <w:r>
        <w:fldChar w:fldCharType="separate"/>
      </w:r>
      <w:r>
        <w:rPr>
          <w:rFonts w:ascii="宋体" w:hAnsi="宋体" w:eastAsia="宋体"/>
          <w:color w:val="000000" w:themeColor="text1"/>
          <w14:textFill>
            <w14:solidFill>
              <w14:schemeClr w14:val="tx1"/>
            </w14:solidFill>
          </w14:textFill>
        </w:rPr>
        <w:t>2. 专家组、裁判员</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_Toc532916368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"_Toc532916369" </w:instrText>
      </w:r>
      <w:r>
        <w:fldChar w:fldCharType="separate"/>
      </w:r>
      <w:r>
        <w:rPr>
          <w:rFonts w:ascii="宋体" w:hAnsi="宋体" w:eastAsia="宋体"/>
          <w:color w:val="000000" w:themeColor="text1"/>
          <w14:textFill>
            <w14:solidFill>
              <w14:schemeClr w14:val="tx1"/>
            </w14:solidFill>
          </w14:textFill>
        </w:rPr>
        <w:t xml:space="preserve">3. </w:t>
      </w:r>
      <w:r>
        <w:rPr>
          <w:rStyle w:val="12"/>
          <w:rFonts w:ascii="宋体" w:hAnsi="宋体" w:eastAsia="宋体" w:cs="黑体"/>
          <w:color w:val="000000" w:themeColor="text1"/>
          <w14:textFill>
            <w14:solidFill>
              <w14:schemeClr w14:val="tx1"/>
            </w14:solidFill>
          </w14:textFill>
        </w:rPr>
        <w:t>竞赛命题要求</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_Toc532916369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3</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"_Toc532916370" </w:instrText>
      </w:r>
      <w:r>
        <w:fldChar w:fldCharType="separate"/>
      </w:r>
      <w:r>
        <w:rPr>
          <w:rFonts w:ascii="宋体" w:hAnsi="宋体" w:eastAsia="宋体"/>
          <w:color w:val="000000" w:themeColor="text1"/>
          <w14:textFill>
            <w14:solidFill>
              <w14:schemeClr w14:val="tx1"/>
            </w14:solidFill>
          </w14:textFill>
        </w:rPr>
        <w:t>4. 竞赛评判方法</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_Toc532916370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7</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"_Toc532916371" </w:instrText>
      </w:r>
      <w:r>
        <w:fldChar w:fldCharType="separate"/>
      </w:r>
      <w:r>
        <w:rPr>
          <w:rFonts w:ascii="宋体" w:hAnsi="宋体" w:eastAsia="宋体"/>
          <w:color w:val="000000" w:themeColor="text1"/>
          <w14:textFill>
            <w14:solidFill>
              <w14:schemeClr w14:val="tx1"/>
            </w14:solidFill>
          </w14:textFill>
        </w:rPr>
        <w:t>5. 竞赛的基础设施</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_Toc532916371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8</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"_Toc532916375" </w:instrText>
      </w:r>
      <w:r>
        <w:fldChar w:fldCharType="separate"/>
      </w:r>
      <w:r>
        <w:rPr>
          <w:rFonts w:ascii="宋体" w:hAnsi="宋体" w:eastAsia="宋体"/>
          <w:color w:val="000000" w:themeColor="text1"/>
          <w14:textFill>
            <w14:solidFill>
              <w14:schemeClr w14:val="tx1"/>
            </w14:solidFill>
          </w14:textFill>
        </w:rPr>
        <w:t>6. 赛场安全</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_Toc532916375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10</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"_Toc532916376" </w:instrText>
      </w:r>
      <w:r>
        <w:fldChar w:fldCharType="separate"/>
      </w:r>
      <w:r>
        <w:rPr>
          <w:rFonts w:ascii="宋体" w:hAnsi="宋体" w:eastAsia="宋体"/>
          <w:color w:val="000000" w:themeColor="text1"/>
          <w14:textFill>
            <w14:solidFill>
              <w14:schemeClr w14:val="tx1"/>
            </w14:solidFill>
          </w14:textFill>
        </w:rPr>
        <w:t>7. 裁判员工作内容</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_Toc532916376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11</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"_Toc532916377" </w:instrText>
      </w:r>
      <w:r>
        <w:fldChar w:fldCharType="separate"/>
      </w:r>
      <w:r>
        <w:rPr>
          <w:rFonts w:ascii="宋体" w:hAnsi="宋体" w:eastAsia="宋体"/>
          <w:color w:val="000000" w:themeColor="text1"/>
          <w14:textFill>
            <w14:solidFill>
              <w14:schemeClr w14:val="tx1"/>
            </w14:solidFill>
          </w14:textFill>
        </w:rPr>
        <w:t>8. 选手的工作内容</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_Toc532916377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11</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"_Toc532916378" </w:instrText>
      </w:r>
      <w:r>
        <w:fldChar w:fldCharType="separate"/>
      </w:r>
      <w:r>
        <w:rPr>
          <w:rFonts w:ascii="宋体" w:hAnsi="宋体" w:eastAsia="宋体"/>
          <w:color w:val="000000" w:themeColor="text1"/>
          <w14:textFill>
            <w14:solidFill>
              <w14:schemeClr w14:val="tx1"/>
            </w14:solidFill>
          </w14:textFill>
        </w:rPr>
        <w:t>9. 开放赛场</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_Toc532916378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12</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"_Toc532916379" </w:instrText>
      </w:r>
      <w:r>
        <w:fldChar w:fldCharType="separate"/>
      </w:r>
      <w:r>
        <w:rPr>
          <w:rFonts w:ascii="宋体" w:hAnsi="宋体" w:eastAsia="宋体"/>
          <w:color w:val="000000" w:themeColor="text1"/>
          <w14:textFill>
            <w14:solidFill>
              <w14:schemeClr w14:val="tx1"/>
            </w14:solidFill>
          </w14:textFill>
        </w:rPr>
        <w:t>10. 绿色环保</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_Toc532916379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13</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14:textFill>
            <w14:solidFill>
              <w14:schemeClr w14:val="tx1"/>
            </w14:solidFill>
          </w14:textFill>
        </w:rPr>
      </w:pPr>
      <w:r>
        <w:fldChar w:fldCharType="begin"/>
      </w:r>
      <w:r>
        <w:instrText xml:space="preserve"> HYPERLINK \l "_Toc532916380" </w:instrText>
      </w:r>
      <w:r>
        <w:fldChar w:fldCharType="separate"/>
      </w:r>
      <w:r>
        <w:rPr>
          <w:rFonts w:ascii="宋体" w:hAnsi="宋体" w:eastAsia="宋体"/>
          <w:color w:val="000000" w:themeColor="text1"/>
          <w14:textFill>
            <w14:solidFill>
              <w14:schemeClr w14:val="tx1"/>
            </w14:solidFill>
          </w14:textFill>
        </w:rPr>
        <w:t>11. 安全与健康条例</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fldChar w:fldCharType="begin"/>
      </w:r>
      <w:r>
        <w:rPr>
          <w:rFonts w:ascii="宋体" w:hAnsi="宋体" w:eastAsia="宋体"/>
          <w:color w:val="000000" w:themeColor="text1"/>
          <w14:textFill>
            <w14:solidFill>
              <w14:schemeClr w14:val="tx1"/>
            </w14:solidFill>
          </w14:textFill>
        </w:rPr>
        <w:instrText xml:space="preserve"> PAGEREF _Toc532916380 \h </w:instrText>
      </w:r>
      <w:r>
        <w:rPr>
          <w:rFonts w:ascii="宋体" w:hAnsi="宋体" w:eastAsia="宋体"/>
          <w:color w:val="000000" w:themeColor="text1"/>
          <w14:textFill>
            <w14:solidFill>
              <w14:schemeClr w14:val="tx1"/>
            </w14:solidFill>
          </w14:textFill>
        </w:rPr>
        <w:fldChar w:fldCharType="separate"/>
      </w:r>
      <w:r>
        <w:rPr>
          <w:rFonts w:ascii="宋体" w:hAnsi="宋体" w:eastAsia="宋体"/>
          <w:color w:val="000000" w:themeColor="text1"/>
          <w14:textFill>
            <w14:solidFill>
              <w14:schemeClr w14:val="tx1"/>
            </w14:solidFill>
          </w14:textFill>
        </w:rPr>
        <w:t>13</w:t>
      </w:r>
      <w:r>
        <w:rPr>
          <w:rFonts w:ascii="宋体" w:hAnsi="宋体" w:eastAsia="宋体"/>
          <w:color w:val="000000" w:themeColor="text1"/>
          <w14:textFill>
            <w14:solidFill>
              <w14:schemeClr w14:val="tx1"/>
            </w14:solidFill>
          </w14:textFill>
        </w:rPr>
        <w:fldChar w:fldCharType="end"/>
      </w:r>
      <w:r>
        <w:rPr>
          <w:rFonts w:ascii="宋体" w:hAnsi="宋体" w:eastAsia="宋体"/>
          <w:color w:val="000000" w:themeColor="text1"/>
          <w14:textFill>
            <w14:solidFill>
              <w14:schemeClr w14:val="tx1"/>
            </w14:solidFill>
          </w14:textFill>
        </w:rPr>
        <w:fldChar w:fldCharType="end"/>
      </w:r>
    </w:p>
    <w:p>
      <w:pPr>
        <w:pStyle w:val="7"/>
        <w:widowControl w:val="0"/>
        <w:tabs>
          <w:tab w:val="right" w:leader="dot" w:pos="8608"/>
          <w:tab w:val="clear" w:pos="8410"/>
        </w:tabs>
        <w:spacing w:line="500" w:lineRule="exact"/>
        <w:jc w:val="both"/>
        <w:rPr>
          <w:rFonts w:ascii="宋体" w:hAnsi="宋体" w:eastAsia="宋体"/>
          <w:color w:val="000000" w:themeColor="text1"/>
          <w:kern w:val="2"/>
          <w14:textFill>
            <w14:solidFill>
              <w14:schemeClr w14:val="tx1"/>
            </w14:solidFill>
          </w14:textFill>
        </w:rPr>
      </w:pPr>
      <w:r>
        <w:rPr>
          <w:rFonts w:ascii="宋体" w:hAnsi="宋体" w:eastAsia="宋体"/>
          <w:color w:val="000000" w:themeColor="text1"/>
          <w14:textFill>
            <w14:solidFill>
              <w14:schemeClr w14:val="tx1"/>
            </w14:solidFill>
          </w14:textFill>
        </w:rPr>
        <w:fldChar w:fldCharType="end"/>
      </w:r>
    </w:p>
    <w:p>
      <w:pPr>
        <w:pStyle w:val="7"/>
        <w:tabs>
          <w:tab w:val="right" w:leader="dot" w:pos="7350"/>
        </w:tabs>
        <w:spacing w:line="400" w:lineRule="exact"/>
        <w:rPr>
          <w:rStyle w:val="12"/>
          <w:rFonts w:ascii="宋体" w:hAnsi="宋体"/>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4680"/>
        </w:tabs>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sectPr>
          <w:footerReference r:id="rId5" w:type="default"/>
          <w:pgSz w:w="11906" w:h="16838"/>
          <w:pgMar w:top="1701" w:right="1644" w:bottom="1701" w:left="1644" w:header="851" w:footer="992" w:gutter="0"/>
          <w:pgNumType w:start="1"/>
          <w:cols w:space="720" w:num="1"/>
          <w:docGrid w:type="lines" w:linePitch="312" w:charSpace="0"/>
        </w:sectPr>
      </w:pPr>
    </w:p>
    <w:p>
      <w:pPr>
        <w:tabs>
          <w:tab w:val="left" w:pos="4680"/>
        </w:tabs>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内燃港机装卸机械司机项目技术文件</w:t>
      </w:r>
    </w:p>
    <w:p>
      <w:pPr>
        <w:pStyle w:val="2"/>
        <w:spacing w:before="312" w:beforeLines="100" w:after="0" w:line="240" w:lineRule="auto"/>
        <w:rPr>
          <w:rFonts w:ascii="黑体" w:hAnsi="黑体" w:eastAsia="黑体" w:cs="黑体"/>
          <w:b w:val="0"/>
          <w:bCs w:val="0"/>
          <w:color w:val="000000" w:themeColor="text1"/>
          <w:sz w:val="32"/>
          <w:szCs w:val="32"/>
          <w14:textFill>
            <w14:solidFill>
              <w14:schemeClr w14:val="tx1"/>
            </w14:solidFill>
          </w14:textFill>
        </w:rPr>
      </w:pPr>
      <w:bookmarkStart w:id="0" w:name="_Toc532916367"/>
      <w:r>
        <w:rPr>
          <w:rFonts w:hint="eastAsia" w:ascii="黑体" w:hAnsi="黑体" w:eastAsia="黑体" w:cs="黑体"/>
          <w:b w:val="0"/>
          <w:bCs w:val="0"/>
          <w:color w:val="000000" w:themeColor="text1"/>
          <w:sz w:val="32"/>
          <w:szCs w:val="32"/>
          <w14:textFill>
            <w14:solidFill>
              <w14:schemeClr w14:val="tx1"/>
            </w14:solidFill>
          </w14:textFill>
        </w:rPr>
        <w:t>1.</w:t>
      </w:r>
      <w:r>
        <w:rPr>
          <w:rFonts w:hint="eastAsia" w:ascii="黑体" w:hAnsi="黑体" w:eastAsia="黑体" w:cs="黑体"/>
          <w:b w:val="0"/>
          <w:bCs w:val="0"/>
          <w:color w:val="000000" w:themeColor="text1"/>
          <w:kern w:val="2"/>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内燃港机装卸机械司机竞赛项目描述</w:t>
      </w:r>
      <w:bookmarkEnd w:id="0"/>
    </w:p>
    <w:p>
      <w:pPr>
        <w:ind w:firstLine="562" w:firstLineChars="20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内燃港机装卸机械司机竞赛项目，根据日常叉车作业流程和特点而制定的，有叠起货盘后经过限宽通道、S型弯道、货物上高三个赛点。货盘的叠起难点需司机在两米外用目测的方式判断上下层的相对位置，货盘下三个定位点放置时必须精确对位，限宽通道是检验司机对叉车机动性的掌握能力；S型弯道检验司机掌握叉车的灵活性的操控能力；货物上高是检验司机对起升、俯仰联动操控能力的精准性；并通过时间限制，检验司机的连续性、协调性和平稳性，做到安全第一，稳中求胜。</w:t>
      </w:r>
    </w:p>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1" w:name="_Toc532916368"/>
      <w:r>
        <w:rPr>
          <w:rFonts w:hint="eastAsia" w:ascii="黑体" w:hAnsi="黑体" w:eastAsia="黑体" w:cs="黑体"/>
          <w:b w:val="0"/>
          <w:bCs w:val="0"/>
          <w:color w:val="000000" w:themeColor="text1"/>
          <w:sz w:val="32"/>
          <w:szCs w:val="32"/>
          <w14:textFill>
            <w14:solidFill>
              <w14:schemeClr w14:val="tx1"/>
            </w14:solidFill>
          </w14:textFill>
        </w:rPr>
        <w:t>2.</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专家组、裁判员</w:t>
      </w:r>
      <w:bookmarkEnd w:id="1"/>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2.1命题专家组</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命题专家组由市大赛组委会办公室聘任，竞赛的技术工作由命题专家组负责。命题专家组长承担裁判长工作职责。专家组成员可承担副裁判长及裁判员工作职责，协助裁判长做好安全监督、数据录入、竞赛保密等技术工作。命题专家组对于竞赛的所有技术问题具有最终解释权和决定权。</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2.2裁判员</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裁判员的条件及要求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（1）思想品德优秀，身体健康；</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（2）一般应具有相关专业技师以上职业资格或中级以上专业技术职务，且在行业内具有一定的影响力；</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（3）具有省级以上职业技能竞赛的命题及裁判工作经历的优先选聘；</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（4）原则上从市职业技能鉴定专家委员会委员中选聘。</w:t>
      </w:r>
    </w:p>
    <w:p>
      <w:pPr>
        <w:pStyle w:val="2"/>
        <w:spacing w:before="0" w:after="0" w:line="240" w:lineRule="auto"/>
        <w:rPr>
          <w:rFonts w:hint="eastAsia" w:ascii="黑体" w:hAnsi="黑体" w:eastAsia="黑体" w:cs="黑体"/>
          <w:b w:val="0"/>
          <w:bCs w:val="0"/>
          <w:color w:val="000000" w:themeColor="text1"/>
          <w:sz w:val="32"/>
          <w:szCs w:val="32"/>
          <w:lang w:eastAsia="zh-CN"/>
          <w14:textFill>
            <w14:solidFill>
              <w14:schemeClr w14:val="tx1"/>
            </w14:solidFill>
          </w14:textFill>
        </w:rPr>
      </w:pPr>
      <w:bookmarkStart w:id="2" w:name="_Toc532916369"/>
      <w:r>
        <w:rPr>
          <w:rFonts w:hint="eastAsia" w:ascii="黑体" w:hAnsi="黑体" w:eastAsia="黑体" w:cs="黑体"/>
          <w:b w:val="0"/>
          <w:bCs w:val="0"/>
          <w:color w:val="000000" w:themeColor="text1"/>
          <w:sz w:val="32"/>
          <w:szCs w:val="32"/>
          <w14:textFill>
            <w14:solidFill>
              <w14:schemeClr w14:val="tx1"/>
            </w14:solidFill>
          </w14:textFill>
        </w:rPr>
        <w:t>3.</w:t>
      </w:r>
      <w:r>
        <w:rPr>
          <w:rFonts w:ascii="黑体" w:hAnsi="黑体" w:eastAsia="黑体" w:cs="黑体"/>
          <w:b w:val="0"/>
          <w:bCs w:val="0"/>
          <w:color w:val="000000" w:themeColor="text1"/>
          <w:sz w:val="32"/>
          <w:szCs w:val="32"/>
          <w14:textFill>
            <w14:solidFill>
              <w14:schemeClr w14:val="tx1"/>
            </w14:solidFill>
          </w14:textFill>
        </w:rPr>
        <w:t xml:space="preserve"> </w:t>
      </w:r>
      <w:bookmarkEnd w:id="2"/>
      <w:r>
        <w:rPr>
          <w:rFonts w:hint="eastAsia" w:ascii="黑体" w:hAnsi="黑体" w:eastAsia="黑体" w:cs="黑体"/>
          <w:b w:val="0"/>
          <w:bCs w:val="0"/>
          <w:color w:val="000000" w:themeColor="text1"/>
          <w:sz w:val="32"/>
          <w:szCs w:val="32"/>
          <w:lang w:eastAsia="zh-CN"/>
          <w14:textFill>
            <w14:solidFill>
              <w14:schemeClr w14:val="tx1"/>
            </w14:solidFill>
          </w14:textFill>
        </w:rPr>
        <w:t>竞赛命题要求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竞赛按国家职业标准三级（高级工）命题，分理论考核和技能操作考核两部分，理论考核占30%，技能操作考核占70%。</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3.1理论考核要求: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（1）竞赛的时间及方式。【采用</w:t>
      </w:r>
      <w:r>
        <w:rPr>
          <w:rFonts w:ascii="仿宋" w:hAnsi="仿宋" w:eastAsia="仿宋"/>
          <w:color w:val="000000" w:themeColor="text1"/>
          <w:sz w:val="28"/>
          <w:szCs w:val="28"/>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0分钟，闭卷无纸化电子考试】</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（2）试卷的组成，内燃装卸机械专业知识占30%；机械基础知识占15%；叉车各机构常见故障与排除</w:t>
      </w:r>
      <w:r>
        <w:rPr>
          <w:rFonts w:ascii="仿宋" w:hAnsi="仿宋" w:eastAsia="仿宋"/>
          <w:color w:val="000000" w:themeColor="text1"/>
          <w:sz w:val="28"/>
          <w:szCs w:val="28"/>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%；力学基础知识占10%；液压传动知识占</w:t>
      </w: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%；金属工艺知识占10%；质量管理及相关法律、法规占5%。</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（3）考核的范围即考核的内容。</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X:重要  Y:一般  Z:辅助</w:t>
      </w:r>
    </w:p>
    <w:tbl>
      <w:tblPr>
        <w:tblStyle w:val="1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56"/>
        <w:gridCol w:w="2736"/>
        <w:gridCol w:w="307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行为领域</w:t>
            </w:r>
          </w:p>
        </w:tc>
        <w:tc>
          <w:tcPr>
            <w:tcW w:w="27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考核范围</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考核内容</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重要程度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内燃装卸机械专业知识30%</w:t>
            </w:r>
          </w:p>
        </w:tc>
        <w:tc>
          <w:tcPr>
            <w:tcW w:w="273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内燃装卸机械的技术参数</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设备的结构及分类</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几何尺寸参数</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速度参数</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电气参数</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其它总体参数</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Arial Narrow" w:hAnsi="Arial Narrow" w:eastAsia="仿宋_GB2312"/>
                <w:color w:val="000000" w:themeColor="text1"/>
                <w:kern w:val="0"/>
                <w:szCs w:val="21"/>
                <w14:textFill>
                  <w14:solidFill>
                    <w14:schemeClr w14:val="tx1"/>
                  </w14:solidFill>
                </w14:textFill>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内燃装卸机械的通用部件及机构</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内燃装卸机械通用零部件及安全装置</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内燃装卸机械的运行机构和装置</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内燃装卸机械的机械系统</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内燃装卸机械的液压系统</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内燃装卸机械的保养与维护</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内燃叉车保养的主要内容</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内燃叉车保养的种类</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叉车油料的选择与应用</w:t>
            </w:r>
            <w:r>
              <w:rPr>
                <w:rFonts w:ascii="仿宋_GB2312" w:eastAsia="仿宋_GB2312"/>
                <w:color w:val="000000" w:themeColor="text1"/>
                <w:kern w:val="0"/>
                <w:szCs w:val="21"/>
                <w14:textFill>
                  <w14:solidFill>
                    <w14:schemeClr w14:val="tx1"/>
                  </w14:solidFill>
                </w14:textFill>
              </w:rPr>
              <w:t xml:space="preserve"> </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机械基础知识</w:t>
            </w:r>
            <w:r>
              <w:rPr>
                <w:rFonts w:ascii="仿宋_GB2312" w:eastAsia="仿宋_GB2312"/>
                <w:color w:val="000000" w:themeColor="text1"/>
                <w:kern w:val="0"/>
                <w:szCs w:val="21"/>
                <w14:textFill>
                  <w14:solidFill>
                    <w14:schemeClr w14:val="tx1"/>
                  </w14:solidFill>
                </w14:textFill>
              </w:rPr>
              <w:t>1</w:t>
            </w:r>
            <w:r>
              <w:rPr>
                <w:rFonts w:hint="eastAsia" w:ascii="仿宋_GB2312" w:eastAsia="仿宋_GB2312"/>
                <w:color w:val="000000" w:themeColor="text1"/>
                <w:kern w:val="0"/>
                <w:szCs w:val="21"/>
                <w14:textFill>
                  <w14:solidFill>
                    <w14:schemeClr w14:val="tx1"/>
                  </w14:solidFill>
                </w14:textFill>
              </w:rPr>
              <w:t>5%</w:t>
            </w: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机械制图</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投影及三视图</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尺寸的标注</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公差与配合</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零件图的识读</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机械传动</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各类机构</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各类传动的优缺点</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叉车各机构常见故障与排除</w:t>
            </w:r>
          </w:p>
          <w:p>
            <w:pPr>
              <w:snapToGrid w:val="0"/>
              <w:jc w:val="center"/>
              <w:rPr>
                <w:rFonts w:ascii="仿宋_GB2312" w:eastAsia="仿宋_GB2312"/>
                <w:color w:val="000000" w:themeColor="text1"/>
                <w:kern w:val="0"/>
                <w:szCs w:val="21"/>
                <w14:textFill>
                  <w14:solidFill>
                    <w14:schemeClr w14:val="tx1"/>
                  </w14:solidFill>
                </w14:textFill>
              </w:rPr>
            </w:pPr>
            <w:r>
              <w:rPr>
                <w:rFonts w:ascii="仿宋_GB2312" w:eastAsia="仿宋_GB2312"/>
                <w:color w:val="000000" w:themeColor="text1"/>
                <w:kern w:val="0"/>
                <w:szCs w:val="21"/>
                <w14:textFill>
                  <w14:solidFill>
                    <w14:schemeClr w14:val="tx1"/>
                  </w14:solidFill>
                </w14:textFill>
              </w:rPr>
              <w:t>10</w:t>
            </w:r>
            <w:r>
              <w:rPr>
                <w:rFonts w:hint="eastAsia" w:ascii="仿宋_GB2312" w:eastAsia="仿宋_GB2312"/>
                <w:color w:val="000000" w:themeColor="text1"/>
                <w:kern w:val="0"/>
                <w:szCs w:val="21"/>
                <w14:textFill>
                  <w14:solidFill>
                    <w14:schemeClr w14:val="tx1"/>
                  </w14:solidFill>
                </w14:textFill>
              </w:rPr>
              <w:t>%</w:t>
            </w:r>
          </w:p>
        </w:tc>
        <w:tc>
          <w:tcPr>
            <w:tcW w:w="273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内燃机械类</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变速箱</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变矩器</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工作装置液压系统</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转向系统</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制动系统</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升降机构</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驱动桥</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Arial Narrow" w:hAnsi="Arial Narrow" w:eastAsia="仿宋_GB2312"/>
                <w:color w:val="000000" w:themeColor="text1"/>
                <w:kern w:val="0"/>
                <w:szCs w:val="21"/>
                <w14:textFill>
                  <w14:solidFill>
                    <w14:schemeClr w14:val="tx1"/>
                  </w14:solidFill>
                </w14:textFill>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电器类</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电路系统</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75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力学础知识10%</w:t>
            </w:r>
          </w:p>
        </w:tc>
        <w:tc>
          <w:tcPr>
            <w:tcW w:w="273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理论力学</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力学的基本概念</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756" w:type="dxa"/>
            <w:vMerge w:val="continue"/>
            <w:tcBorders>
              <w:left w:val="single" w:color="auto" w:sz="4" w:space="0"/>
              <w:right w:val="single" w:color="auto" w:sz="4" w:space="0"/>
            </w:tcBorders>
            <w:vAlign w:val="center"/>
          </w:tcPr>
          <w:p>
            <w:pPr>
              <w:snapToGrid w:val="0"/>
              <w:jc w:val="center"/>
              <w:rPr>
                <w:rFonts w:hint="eastAsia"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center"/>
              <w:rPr>
                <w:rFonts w:hint="eastAsia"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物体的受力分析与受力图</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756"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力系的平衡与计算</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Arial Narrow" w:hAnsi="Arial Narrow" w:eastAsia="仿宋_GB2312"/>
                <w:color w:val="000000" w:themeColor="text1"/>
                <w:kern w:val="0"/>
                <w:szCs w:val="21"/>
                <w14:textFill>
                  <w14:solidFill>
                    <w14:schemeClr w14:val="tx1"/>
                  </w14:solidFill>
                </w14:textFill>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液压传动知识20%</w:t>
            </w: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液压传动</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液压传动的原理及基本概念</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液压元件的原理及符号</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液压传动的基本回路</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常见液压传动故障的原因分析与排除</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60" w:hRule="atLeast"/>
          <w:jc w:val="center"/>
        </w:trPr>
        <w:tc>
          <w:tcPr>
            <w:tcW w:w="1756" w:type="dxa"/>
            <w:vMerge w:val="restart"/>
            <w:tcBorders>
              <w:top w:val="single" w:color="auto" w:sz="4" w:space="0"/>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金属工艺知识10%</w:t>
            </w:r>
          </w:p>
        </w:tc>
        <w:tc>
          <w:tcPr>
            <w:tcW w:w="2736" w:type="dxa"/>
            <w:vMerge w:val="restart"/>
            <w:tcBorders>
              <w:top w:val="single" w:color="auto" w:sz="4" w:space="0"/>
              <w:left w:val="single" w:color="auto" w:sz="4" w:space="0"/>
              <w:right w:val="single" w:color="auto" w:sz="4" w:space="0"/>
            </w:tcBorders>
            <w:vAlign w:val="center"/>
          </w:tcPr>
          <w:p>
            <w:pPr>
              <w:snapToGrid w:val="0"/>
              <w:jc w:val="left"/>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常用金属材料及热处理</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常用金属材料的物理、化学和力学性能</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60" w:hRule="atLeast"/>
          <w:jc w:val="center"/>
        </w:trPr>
        <w:tc>
          <w:tcPr>
            <w:tcW w:w="175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碳素结构钢、合金钢、铸铁、有色金属的分类、成分、性能和用途</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60" w:hRule="atLeast"/>
          <w:jc w:val="center"/>
        </w:trPr>
        <w:tc>
          <w:tcPr>
            <w:tcW w:w="1756" w:type="dxa"/>
            <w:vMerge w:val="continue"/>
            <w:tcBorders>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2736" w:type="dxa"/>
            <w:vMerge w:val="continue"/>
            <w:tcBorders>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钢的热处理</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法律法规</w:t>
            </w:r>
            <w:r>
              <w:rPr>
                <w:rFonts w:ascii="仿宋_GB2312" w:eastAsia="仿宋_GB2312"/>
                <w:color w:val="000000" w:themeColor="text1"/>
                <w:kern w:val="0"/>
                <w:szCs w:val="21"/>
                <w14:textFill>
                  <w14:solidFill>
                    <w14:schemeClr w14:val="tx1"/>
                  </w14:solidFill>
                </w14:textFill>
              </w:rPr>
              <w:t>5</w:t>
            </w:r>
            <w:r>
              <w:rPr>
                <w:rFonts w:hint="eastAsia" w:ascii="仿宋_GB2312" w:eastAsia="仿宋_GB2312"/>
                <w:color w:val="000000" w:themeColor="text1"/>
                <w:kern w:val="0"/>
                <w:szCs w:val="21"/>
                <w14:textFill>
                  <w14:solidFill>
                    <w14:schemeClr w14:val="tx1"/>
                  </w14:solidFill>
                </w14:textFill>
              </w:rPr>
              <w:t>%</w:t>
            </w: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法律法规</w:t>
            </w: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《安全操作规程》</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 w:hRule="atLeast"/>
          <w:jc w:val="center"/>
        </w:trPr>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_GB2312" w:eastAsia="仿宋_GB2312"/>
                <w:color w:val="000000" w:themeColor="text1"/>
                <w:kern w:val="0"/>
                <w:szCs w:val="21"/>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color w:val="000000" w:themeColor="text1"/>
                <w:kern w:val="0"/>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《特种就业人员安全技术培训考核管理办法》</w:t>
            </w:r>
          </w:p>
        </w:tc>
        <w:tc>
          <w:tcPr>
            <w:tcW w:w="7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kern w:val="0"/>
                <w:szCs w:val="21"/>
                <w14:textFill>
                  <w14:solidFill>
                    <w14:schemeClr w14:val="tx1"/>
                  </w14:solidFill>
                </w14:textFill>
              </w:rPr>
            </w:pPr>
            <w:r>
              <w:rPr>
                <w:rFonts w:ascii="Arial Narrow" w:hAnsi="Arial Narrow" w:eastAsia="仿宋_GB2312"/>
                <w:color w:val="000000" w:themeColor="text1"/>
                <w:kern w:val="0"/>
                <w:szCs w:val="21"/>
                <w14:textFill>
                  <w14:solidFill>
                    <w14:schemeClr w14:val="tx1"/>
                  </w14:solidFill>
                </w14:textFill>
              </w:rPr>
              <w:t>Y</w:t>
            </w:r>
          </w:p>
        </w:tc>
      </w:tr>
    </w:tbl>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（4）主要参考资料。</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① 《机械设计基础》郭红星、宋敏主编，西安电子科技大学出版社出版</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书号：ISBN978-7-5606-1622-3</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② 《内燃机构造与原理》孙建新主编，人民交通出版社出版</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书号：ISBN7-114-05014-3</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③ 《港口机械修理》马乔林主编，人民交通出版社出版</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书号：ISBN978-7-114-05191-3</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④ 《港口机械液压与液力传动》王剑华主编，交通出版社出版</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书号：ISBN978-7-114-06993-2</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3.2技能操作考核要求: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（1）竞赛时间：8分钟</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（2）操作要求：</w:t>
      </w:r>
    </w:p>
    <w:p>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参赛选手上车，带好安全带，向裁判示意开始比赛 → 选手驾驶叉车出库；驾驶叉车从起点启动前需鸣笛，叉取A货盘放置B货盘（注意对准货盘下方定位管）；正向驾驶叉车依次过第1个窄门；前行走S型弯道，通过第二个窄门到进箱板上;在终点进箱板上，将AB两个货盘放置指定位置；挑起货盘A上的1号台球放置对应的1支架上，然后挑起2台球放置对应的2支架上；倒车空驶过窄门2、S型弯道、过窄门1回到起点入库，并落下货叉（行驶过程中货叉的高度不能高于标志杆1米的高度）,叉刀平放在地面，拉手制动后熄火，鸣笛示意比赛结束。</w:t>
      </w:r>
    </w:p>
    <w:p>
      <w:pPr>
        <w:ind w:firstLine="560" w:firstLineChars="200"/>
        <w:rPr>
          <w:rFonts w:hint="eastAsia" w:ascii="仿宋" w:hAnsi="仿宋" w:eastAsia="仿宋"/>
          <w:color w:val="000000" w:themeColor="text1"/>
          <w:sz w:val="28"/>
          <w:szCs w:val="28"/>
          <w14:textFill>
            <w14:solidFill>
              <w14:schemeClr w14:val="tx1"/>
            </w14:solidFill>
          </w14:textFill>
        </w:rPr>
      </w:pPr>
    </w:p>
    <w:p>
      <w:pPr>
        <w:spacing w:line="560" w:lineRule="exac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（3）竞赛要求：</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1）参赛选手要着单位工装、佩戴安全帽、文明驾驶，起步鸣号，竞赛过程中要遵守纪律，严格按照操作规程和比赛规程操作，运行平稳，换挡熟练，不压线。</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2）驾驶机械，取放货盘“轻拿稳放”。</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3）凡因参赛人员操作不当，行走过程中造成台球掉落，继续比赛，由工作人员在终点处放置在圆管上。</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4）比赛期间，选手碰杆、障碍物的，选手继续比赛，扣相应分数，由工作人员将杆、障碍物及时复位。</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5）比赛时间8分钟，裁判员将提前1分钟提醒参赛选手用时，超过10分钟不能完成比赛的，比赛终止，取消比赛资格。</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6）比赛用货盘均为铁质货盘用40mm*20mm方钢及</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mm钢板围栏制作，圆管为4分镀锌管、1寸镀锌管、铁棍为20mm；台球为标准台球；比赛过程中，两叉刀内间距38</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40</w:t>
      </w:r>
      <w:r>
        <w:rPr>
          <w:rFonts w:ascii="仿宋" w:hAnsi="仿宋" w:eastAsia="仿宋"/>
          <w:color w:val="000000" w:themeColor="text1"/>
          <w:sz w:val="28"/>
          <w:szCs w:val="28"/>
          <w14:textFill>
            <w14:solidFill>
              <w14:schemeClr w14:val="tx1"/>
            </w14:solidFill>
          </w14:textFill>
        </w:rPr>
        <w:t>cm</w:t>
      </w:r>
      <w:r>
        <w:rPr>
          <w:rFonts w:hint="eastAsia" w:ascii="仿宋" w:hAnsi="仿宋" w:eastAsia="仿宋"/>
          <w:color w:val="000000" w:themeColor="text1"/>
          <w:sz w:val="28"/>
          <w:szCs w:val="28"/>
          <w14:textFill>
            <w14:solidFill>
              <w14:schemeClr w14:val="tx1"/>
            </w14:solidFill>
          </w14:textFill>
        </w:rPr>
        <w:t>，A货盘上的四个圆管固定。</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7）竞赛过程中，由于叉车自身故障无法继续比赛的，比赛成绩作废，待更换叉车或叉车恢复后，重新比赛。</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8）比赛所用道具喷油漆（台球除外）。</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9）球叉固定在右叉齿内侧，球叉杆前端和叉刀前端平齐。</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10）前进的路线上不能后退，后退路上不能前进。</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11）在进行取放货盘及取放球时允许前进与后退。</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12）整个操作过程必须平稳运行，车体各处不准碰杆、碰障碍物和压线；运行期间，严禁升降叉刀（升降货盘、取放台球时，必须停车升降叉刀），叉刀离地面不超过1米，且叉刀不得碰地。</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13）运行期间，违规横移的，一次扣10分。</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14）不按规定路线行驶的，取消比赛资格；</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15）比赛过程中，人为造成叉车及比赛道具损坏无法继续比赛的</w:t>
      </w:r>
      <w:r>
        <w:rPr>
          <w:rFonts w:hint="eastAsia" w:ascii="仿宋" w:hAnsi="仿宋" w:eastAsia="仿宋"/>
          <w:color w:val="000000" w:themeColor="text1"/>
          <w:sz w:val="28"/>
          <w:szCs w:val="28"/>
          <w:lang w:eastAsia="zh-CN"/>
          <w14:textFill>
            <w14:solidFill>
              <w14:schemeClr w14:val="tx1"/>
            </w14:solidFill>
          </w14:textFill>
        </w:rPr>
        <w:t>，取消比赛资格</w:t>
      </w:r>
      <w:r>
        <w:rPr>
          <w:rFonts w:hint="eastAsia" w:ascii="仿宋" w:hAnsi="仿宋" w:eastAsia="仿宋"/>
          <w:color w:val="000000" w:themeColor="text1"/>
          <w:sz w:val="28"/>
          <w:szCs w:val="28"/>
          <w14:textFill>
            <w14:solidFill>
              <w14:schemeClr w14:val="tx1"/>
            </w14:solidFill>
          </w14:textFill>
        </w:rPr>
        <w:t>。</w:t>
      </w:r>
    </w:p>
    <w:p>
      <w:pPr>
        <w:ind w:firstLine="560" w:firstLineChars="200"/>
        <w:rPr>
          <w:rFonts w:hint="eastAsia" w:ascii="仿宋" w:hAnsi="仿宋" w:eastAsia="仿宋"/>
          <w:color w:val="000000" w:themeColor="text1"/>
          <w:sz w:val="28"/>
          <w:szCs w:val="28"/>
          <w14:textFill>
            <w14:solidFill>
              <w14:schemeClr w14:val="tx1"/>
            </w14:solidFill>
          </w14:textFill>
        </w:rPr>
      </w:pP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）场地图：</w:t>
      </w:r>
    </w:p>
    <w:p>
      <w:pP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4819650" cy="33369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extLst>
                        <a:ext uri="{28A0092B-C50C-407E-A947-70E740481C1C}">
                          <a14:useLocalDpi xmlns:a14="http://schemas.microsoft.com/office/drawing/2010/main" val="0"/>
                        </a:ext>
                      </a:extLst>
                    </a:blip>
                    <a:srcRect t="2549" r="4286" b="3860"/>
                    <a:stretch>
                      <a:fillRect/>
                    </a:stretch>
                  </pic:blipFill>
                  <pic:spPr>
                    <a:xfrm>
                      <a:off x="0" y="0"/>
                      <a:ext cx="4823912" cy="3340331"/>
                    </a:xfrm>
                    <a:prstGeom prst="rect">
                      <a:avLst/>
                    </a:prstGeom>
                    <a:ln>
                      <a:noFill/>
                    </a:ln>
                  </pic:spPr>
                </pic:pic>
              </a:graphicData>
            </a:graphic>
          </wp:inline>
        </w:drawing>
      </w:r>
    </w:p>
    <w:p>
      <w:pPr>
        <w:ind w:firstLine="560" w:firstLineChars="200"/>
        <w:rPr>
          <w:rFonts w:ascii="仿宋" w:hAnsi="仿宋" w:eastAsia="仿宋"/>
          <w:color w:val="000000" w:themeColor="text1"/>
          <w:sz w:val="28"/>
          <w:szCs w:val="28"/>
          <w14:textFill>
            <w14:solidFill>
              <w14:schemeClr w14:val="tx1"/>
            </w14:solidFill>
          </w14:textFill>
        </w:rPr>
      </w:pPr>
      <w:bookmarkStart w:id="3" w:name="_Hlk532912051"/>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任务/模块配分表</w:t>
      </w:r>
      <w:bookmarkEnd w:id="3"/>
    </w:p>
    <w:tbl>
      <w:tblPr>
        <w:tblStyle w:val="13"/>
        <w:tblW w:w="8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75"/>
        <w:gridCol w:w="2173"/>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Align w:val="center"/>
          </w:tcPr>
          <w:p>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序号</w:t>
            </w:r>
          </w:p>
        </w:tc>
        <w:tc>
          <w:tcPr>
            <w:tcW w:w="2173" w:type="dxa"/>
            <w:vAlign w:val="center"/>
          </w:tcPr>
          <w:p>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模块</w:t>
            </w:r>
          </w:p>
        </w:tc>
        <w:tc>
          <w:tcPr>
            <w:tcW w:w="4852" w:type="dxa"/>
            <w:vAlign w:val="center"/>
          </w:tcPr>
          <w:p>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配分项目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restart"/>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1</w:t>
            </w:r>
          </w:p>
        </w:tc>
        <w:tc>
          <w:tcPr>
            <w:tcW w:w="2173" w:type="dxa"/>
            <w:vMerge w:val="restart"/>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准备工作</w:t>
            </w:r>
          </w:p>
        </w:tc>
        <w:tc>
          <w:tcPr>
            <w:tcW w:w="4852" w:type="dxa"/>
            <w:vAlign w:val="center"/>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4852" w:type="dxa"/>
            <w:vAlign w:val="center"/>
          </w:tcPr>
          <w:p>
            <w:pPr>
              <w:snapToGrid w:val="0"/>
              <w:rPr>
                <w:rFonts w:ascii="仿宋" w:hAnsi="仿宋" w:eastAsia="仿宋"/>
                <w:b/>
                <w:bCs/>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手刹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4852" w:type="dxa"/>
            <w:vAlign w:val="center"/>
          </w:tcPr>
          <w:p>
            <w:pPr>
              <w:snapToGrid w:val="0"/>
              <w:rPr>
                <w:rFonts w:ascii="仿宋" w:hAnsi="仿宋" w:eastAsia="仿宋"/>
                <w:b/>
                <w:bCs/>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鸣笛。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4852" w:type="dxa"/>
            <w:vAlign w:val="center"/>
          </w:tcPr>
          <w:p>
            <w:pPr>
              <w:snapToGrid w:val="0"/>
              <w:rPr>
                <w:rFonts w:ascii="仿宋" w:hAnsi="仿宋" w:eastAsia="仿宋"/>
                <w:b/>
                <w:bCs/>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行驶平稳，无中途熄火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restart"/>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2</w:t>
            </w:r>
          </w:p>
        </w:tc>
        <w:tc>
          <w:tcPr>
            <w:tcW w:w="2173" w:type="dxa"/>
            <w:vMerge w:val="restart"/>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叠起货盘</w:t>
            </w:r>
          </w:p>
        </w:tc>
        <w:tc>
          <w:tcPr>
            <w:tcW w:w="4852" w:type="dxa"/>
            <w:vAlign w:val="center"/>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叠盘落不上定位点一个扣3分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bCs/>
                <w:color w:val="000000" w:themeColor="text1"/>
                <w:szCs w:val="21"/>
                <w14:textFill>
                  <w14:solidFill>
                    <w14:schemeClr w14:val="tx1"/>
                  </w14:solidFill>
                </w14:textFill>
              </w:rPr>
            </w:pPr>
          </w:p>
        </w:tc>
        <w:tc>
          <w:tcPr>
            <w:tcW w:w="4852" w:type="dxa"/>
            <w:vAlign w:val="center"/>
          </w:tcPr>
          <w:p>
            <w:pPr>
              <w:snapToGrid w:val="0"/>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台球掉落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3</w:t>
            </w:r>
          </w:p>
        </w:tc>
        <w:tc>
          <w:tcPr>
            <w:tcW w:w="2173" w:type="dxa"/>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限宽通道</w:t>
            </w: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碰杆，倒杆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restart"/>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bCs/>
                <w:color w:val="000000" w:themeColor="text1"/>
                <w:szCs w:val="21"/>
                <w14:textFill>
                  <w14:solidFill>
                    <w14:schemeClr w14:val="tx1"/>
                  </w14:solidFill>
                </w14:textFill>
              </w:rPr>
              <w:t>4</w:t>
            </w:r>
          </w:p>
        </w:tc>
        <w:tc>
          <w:tcPr>
            <w:tcW w:w="2173" w:type="dxa"/>
            <w:vMerge w:val="restart"/>
            <w:vAlign w:val="center"/>
          </w:tcPr>
          <w:p>
            <w:pPr>
              <w:snapToGrid w:val="0"/>
              <w:jc w:val="center"/>
              <w:rPr>
                <w:rFonts w:ascii="仿宋" w:hAnsi="仿宋" w:eastAsia="仿宋"/>
                <w:bCs/>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S型弯道</w:t>
            </w: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单轮压线、出线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碰锥形帽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在前进的路线上后退，后退路上前进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行驶中碰标志杆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88" w:hRule="atLeast"/>
          <w:jc w:val="center"/>
        </w:trPr>
        <w:tc>
          <w:tcPr>
            <w:tcW w:w="1075" w:type="dxa"/>
            <w:vMerge w:val="restart"/>
            <w:vAlign w:val="center"/>
          </w:tcPr>
          <w:p>
            <w:pPr>
              <w:snapToGrid w:val="0"/>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w:t>
            </w:r>
          </w:p>
        </w:tc>
        <w:tc>
          <w:tcPr>
            <w:tcW w:w="2173" w:type="dxa"/>
            <w:vMerge w:val="restart"/>
            <w:vAlign w:val="center"/>
          </w:tcPr>
          <w:p>
            <w:pPr>
              <w:snapToGrid w:val="0"/>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货物上高</w:t>
            </w: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放货盘时，下车调整货盘或叉刀</w:t>
            </w:r>
            <w:r>
              <w:rPr>
                <w:rFonts w:ascii="仿宋" w:hAnsi="仿宋" w:eastAsia="仿宋"/>
                <w:color w:val="000000" w:themeColor="text1"/>
                <w:szCs w:val="21"/>
                <w14:textFill>
                  <w14:solidFill>
                    <w14:schemeClr w14:val="tx1"/>
                  </w14:solidFill>
                </w14:textFill>
              </w:rPr>
              <w:br w:type="textWrapping"/>
            </w:r>
            <w:r>
              <w:rPr>
                <w:rFonts w:hint="eastAsia" w:ascii="仿宋" w:hAnsi="仿宋" w:eastAsia="仿宋"/>
                <w:color w:val="000000" w:themeColor="text1"/>
                <w:szCs w:val="21"/>
                <w14:textFill>
                  <w14:solidFill>
                    <w14:schemeClr w14:val="tx1"/>
                  </w14:solidFill>
                </w14:textFill>
              </w:rPr>
              <w:t>货盘不能对入货架位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台球上高掉落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08" w:hRule="atLeast"/>
          <w:jc w:val="center"/>
        </w:trPr>
        <w:tc>
          <w:tcPr>
            <w:tcW w:w="1075"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升降货盘、取放货盘，停车升降叉刀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18" w:hRule="atLeast"/>
          <w:jc w:val="center"/>
        </w:trPr>
        <w:tc>
          <w:tcPr>
            <w:tcW w:w="1075"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2173" w:type="dxa"/>
            <w:vMerge w:val="continue"/>
            <w:vAlign w:val="center"/>
          </w:tcPr>
          <w:p>
            <w:pPr>
              <w:snapToGrid w:val="0"/>
              <w:jc w:val="center"/>
              <w:rPr>
                <w:rFonts w:ascii="仿宋" w:hAnsi="仿宋" w:eastAsia="仿宋"/>
                <w:color w:val="000000" w:themeColor="text1"/>
                <w:szCs w:val="21"/>
                <w14:textFill>
                  <w14:solidFill>
                    <w14:schemeClr w14:val="tx1"/>
                  </w14:solidFill>
                </w14:textFill>
              </w:rPr>
            </w:pPr>
          </w:p>
        </w:tc>
        <w:tc>
          <w:tcPr>
            <w:tcW w:w="4852" w:type="dxa"/>
          </w:tcPr>
          <w:p>
            <w:pPr>
              <w:snapToGrid w:val="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运行期间，违规横</w:t>
            </w:r>
            <w:r>
              <w:rPr>
                <w:rFonts w:ascii="仿宋" w:hAnsi="仿宋" w:eastAsia="仿宋"/>
                <w:b/>
                <w:bCs/>
                <w:color w:val="000000" w:themeColor="text1"/>
                <w:szCs w:val="21"/>
                <w14:textFill>
                  <w14:solidFill>
                    <w14:schemeClr w14:val="tx1"/>
                  </w14:solidFill>
                </w14:textFill>
              </w:rPr>
              <w:t xml:space="preserve"> </w:t>
            </w:r>
          </w:p>
        </w:tc>
      </w:tr>
    </w:tbl>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4" w:name="_Toc532916370"/>
      <w:r>
        <w:rPr>
          <w:rFonts w:hint="eastAsia" w:ascii="黑体" w:hAnsi="黑体" w:eastAsia="黑体" w:cs="黑体"/>
          <w:b w:val="0"/>
          <w:bCs w:val="0"/>
          <w:color w:val="000000" w:themeColor="text1"/>
          <w:sz w:val="32"/>
          <w:szCs w:val="32"/>
          <w14:textFill>
            <w14:solidFill>
              <w14:schemeClr w14:val="tx1"/>
            </w14:solidFill>
          </w14:textFill>
        </w:rPr>
        <w:t>4.</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竞赛评判方法</w:t>
      </w:r>
      <w:bookmarkEnd w:id="4"/>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bookmarkStart w:id="5" w:name="_Hlk532912582"/>
      <w:r>
        <w:rPr>
          <w:rFonts w:hint="eastAsia" w:ascii="仿宋" w:hAnsi="仿宋" w:eastAsia="仿宋"/>
          <w:color w:val="000000" w:themeColor="text1"/>
          <w:sz w:val="28"/>
          <w:szCs w:val="28"/>
          <w14:textFill>
            <w14:solidFill>
              <w14:schemeClr w14:val="tx1"/>
            </w14:solidFill>
          </w14:textFill>
        </w:rPr>
        <w:t>4.1评判流程</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（1）由记录人员记录对选手的操作情况进行记录；</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（2）由评判人员根据记录情况严格按照评判标准进行评判并核定成绩。</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（3）参赛选手签字确认成绩。</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成绩评判方法</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（1）参赛选手的成绩评定由考评组负责。</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（2）理论考核由电脑自动阅分，技能操作由考评员根据评判标准评分与计分。</w:t>
      </w:r>
    </w:p>
    <w:bookmarkEnd w:id="5"/>
    <w:p>
      <w:pPr>
        <w:spacing w:line="560" w:lineRule="exact"/>
        <w:ind w:firstLine="560" w:firstLineChars="200"/>
        <w:rPr>
          <w:rFonts w:ascii="仿宋" w:hAnsi="仿宋" w:eastAsia="仿宋"/>
          <w:color w:val="000000" w:themeColor="text1"/>
          <w:sz w:val="28"/>
          <w:szCs w:val="28"/>
          <w14:textFill>
            <w14:solidFill>
              <w14:schemeClr w14:val="tx1"/>
            </w14:solidFill>
          </w14:textFill>
        </w:rPr>
      </w:pPr>
      <w:bookmarkStart w:id="6" w:name="_Hlk532912649"/>
      <w:r>
        <w:rPr>
          <w:rFonts w:hint="eastAsia"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成绩计算</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bookmarkStart w:id="7" w:name="_Hlk534633154"/>
      <w:r>
        <w:rPr>
          <w:rFonts w:hint="eastAsia" w:ascii="仿宋" w:hAnsi="仿宋" w:eastAsia="仿宋"/>
          <w:color w:val="000000" w:themeColor="text1"/>
          <w:sz w:val="28"/>
          <w:szCs w:val="28"/>
          <w14:textFill>
            <w14:solidFill>
              <w14:schemeClr w14:val="tx1"/>
            </w14:solidFill>
          </w14:textFill>
        </w:rPr>
        <w:t>竞赛的理论成绩和技能操作成绩均为百分制。</w:t>
      </w:r>
      <w:bookmarkEnd w:id="7"/>
      <w:bookmarkStart w:id="8" w:name="_Hlk534633166"/>
      <w:r>
        <w:rPr>
          <w:rFonts w:hint="eastAsia" w:ascii="仿宋" w:hAnsi="仿宋" w:eastAsia="仿宋"/>
          <w:color w:val="000000" w:themeColor="text1"/>
          <w:sz w:val="28"/>
          <w:szCs w:val="28"/>
          <w14:textFill>
            <w14:solidFill>
              <w14:schemeClr w14:val="tx1"/>
            </w14:solidFill>
          </w14:textFill>
        </w:rPr>
        <w:t>竞赛名次按理论成绩的30%、技能操作成绩的70%，计总分排列。若总分相同，按实际操作成绩高者排名靠前。</w:t>
      </w:r>
      <w:bookmarkEnd w:id="8"/>
    </w:p>
    <w:bookmarkEnd w:id="6"/>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9" w:name="_Toc532916371"/>
      <w:r>
        <w:rPr>
          <w:rFonts w:hint="eastAsia" w:ascii="黑体" w:hAnsi="黑体" w:eastAsia="黑体" w:cs="黑体"/>
          <w:b w:val="0"/>
          <w:bCs w:val="0"/>
          <w:color w:val="000000" w:themeColor="text1"/>
          <w:sz w:val="32"/>
          <w:szCs w:val="32"/>
          <w14:textFill>
            <w14:solidFill>
              <w14:schemeClr w14:val="tx1"/>
            </w14:solidFill>
          </w14:textFill>
        </w:rPr>
        <w:t>5.</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竞赛</w:t>
      </w:r>
      <w:bookmarkEnd w:id="9"/>
      <w:r>
        <w:rPr>
          <w:rFonts w:hint="eastAsia" w:ascii="黑体" w:hAnsi="黑体" w:eastAsia="黑体" w:cs="黑体"/>
          <w:b w:val="0"/>
          <w:bCs w:val="0"/>
          <w:color w:val="000000" w:themeColor="text1"/>
          <w:sz w:val="32"/>
          <w:szCs w:val="32"/>
          <w14:textFill>
            <w14:solidFill>
              <w14:schemeClr w14:val="tx1"/>
            </w14:solidFill>
          </w14:textFill>
        </w:rPr>
        <w:t>器材及设备</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bookmarkStart w:id="10" w:name="_Toc245551487"/>
      <w:bookmarkStart w:id="11" w:name="_Toc532916372"/>
      <w:r>
        <w:rPr>
          <w:rFonts w:hint="eastAsia" w:ascii="仿宋" w:hAnsi="仿宋" w:eastAsia="仿宋"/>
          <w:color w:val="000000" w:themeColor="text1"/>
          <w:sz w:val="28"/>
          <w:szCs w:val="28"/>
          <w14:textFill>
            <w14:solidFill>
              <w14:schemeClr w14:val="tx1"/>
            </w14:solidFill>
          </w14:textFill>
        </w:rPr>
        <w:t>5.1</w:t>
      </w:r>
      <w:bookmarkStart w:id="12" w:name="_Hlk532912690"/>
      <w:r>
        <w:rPr>
          <w:rFonts w:hint="eastAsia" w:ascii="仿宋" w:hAnsi="仿宋" w:eastAsia="仿宋"/>
          <w:color w:val="000000" w:themeColor="text1"/>
          <w:sz w:val="28"/>
          <w:szCs w:val="28"/>
          <w14:textFill>
            <w14:solidFill>
              <w14:schemeClr w14:val="tx1"/>
            </w14:solidFill>
          </w14:textFill>
        </w:rPr>
        <w:t>设备和软件</w:t>
      </w:r>
      <w:bookmarkEnd w:id="10"/>
      <w:bookmarkEnd w:id="11"/>
      <w:bookmarkEnd w:id="12"/>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（1）理论竞赛在标准教室进行。</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（2）操作技能竞赛在指定场地进行，由举办单位选定场地，安排设备，考生只需穿戴好劳动保护用品到达指定位置参赛。</w:t>
      </w:r>
    </w:p>
    <w:p>
      <w:pPr>
        <w:spacing w:line="560" w:lineRule="exact"/>
        <w:ind w:firstLine="560" w:firstLineChars="200"/>
        <w:rPr>
          <w:rFonts w:ascii="仿宋" w:hAnsi="仿宋" w:eastAsia="仿宋"/>
          <w:b/>
          <w:bCs/>
          <w:color w:val="000000" w:themeColor="text1"/>
          <w:sz w:val="28"/>
          <w:szCs w:val="28"/>
          <w14:textFill>
            <w14:solidFill>
              <w14:schemeClr w14:val="tx1"/>
            </w14:solidFill>
          </w14:textFill>
        </w:rPr>
      </w:pPr>
      <w:bookmarkStart w:id="13" w:name="_Toc245551488"/>
      <w:bookmarkStart w:id="14" w:name="_Toc532916373"/>
      <w:r>
        <w:rPr>
          <w:rFonts w:hint="eastAsia" w:ascii="仿宋" w:hAnsi="仿宋" w:eastAsia="仿宋"/>
          <w:color w:val="000000" w:themeColor="text1"/>
          <w:sz w:val="28"/>
          <w:szCs w:val="28"/>
          <w14:textFill>
            <w14:solidFill>
              <w14:schemeClr w14:val="tx1"/>
            </w14:solidFill>
          </w14:textFill>
        </w:rPr>
        <w:t xml:space="preserve">5.2 </w:t>
      </w:r>
      <w:bookmarkStart w:id="15" w:name="_Hlk532912709"/>
      <w:r>
        <w:rPr>
          <w:rFonts w:hint="eastAsia" w:ascii="仿宋" w:hAnsi="仿宋" w:eastAsia="仿宋"/>
          <w:color w:val="000000" w:themeColor="text1"/>
          <w:sz w:val="28"/>
          <w:szCs w:val="28"/>
          <w14:textFill>
            <w14:solidFill>
              <w14:schemeClr w14:val="tx1"/>
            </w14:solidFill>
          </w14:textFill>
        </w:rPr>
        <w:t>硬件设备要求</w:t>
      </w:r>
      <w:bookmarkEnd w:id="13"/>
      <w:bookmarkEnd w:id="14"/>
      <w:bookmarkEnd w:id="15"/>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（1）竞赛设备：3吨叉车1台</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（2）准备道具（附图）：</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①进箱板1个</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②货盘两个、锥形帽（450mm）4个、钢叉1个、镀锌管4分200mm2根、300mm1根、500mm1根、1寸镀锌管150mm3根、φ20*150mm铁棍3根、台球5个、1.5米标志杆数根</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③秒表2个、计分板2个。</w:t>
      </w:r>
    </w:p>
    <w:p>
      <w:pPr>
        <w:jc w:val="center"/>
        <w:rPr>
          <w:color w:val="000000" w:themeColor="text1"/>
          <w14:textFill>
            <w14:solidFill>
              <w14:schemeClr w14:val="tx1"/>
            </w14:solidFill>
          </w14:textFill>
        </w:rPr>
      </w:pPr>
      <w:r>
        <w:rPr>
          <w:rFonts w:ascii="华文中宋" w:hAnsi="华文中宋" w:eastAsia="华文中宋"/>
          <w:color w:val="000000" w:themeColor="text1"/>
          <w:sz w:val="24"/>
          <w14:textFill>
            <w14:solidFill>
              <w14:schemeClr w14:val="tx1"/>
            </w14:solidFill>
          </w14:textFill>
        </w:rPr>
        <w:drawing>
          <wp:inline distT="0" distB="0" distL="0" distR="0">
            <wp:extent cx="5010150" cy="2061845"/>
            <wp:effectExtent l="0" t="0" r="0" b="0"/>
            <wp:docPr id="6" name="图片 6" descr="56399409767677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63994097676778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13734" cy="2063414"/>
                    </a:xfrm>
                    <a:prstGeom prst="rect">
                      <a:avLst/>
                    </a:prstGeom>
                    <a:noFill/>
                    <a:ln>
                      <a:noFill/>
                    </a:ln>
                  </pic:spPr>
                </pic:pic>
              </a:graphicData>
            </a:graphic>
          </wp:inline>
        </w:drawing>
      </w:r>
      <w:r>
        <w:rPr>
          <w:rFonts w:ascii="华文中宋" w:hAnsi="华文中宋" w:eastAsia="华文中宋"/>
          <w:color w:val="000000" w:themeColor="text1"/>
          <w:sz w:val="24"/>
          <w14:textFill>
            <w14:solidFill>
              <w14:schemeClr w14:val="tx1"/>
            </w14:solidFill>
          </w14:textFill>
        </w:rPr>
        <w:drawing>
          <wp:inline distT="0" distB="0" distL="0" distR="0">
            <wp:extent cx="5024755" cy="1574800"/>
            <wp:effectExtent l="0" t="0" r="0" b="0"/>
            <wp:docPr id="8" name="图片 8" descr="55562135635557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556213563555771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31605" cy="1577559"/>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0" distR="0">
            <wp:extent cx="2992120" cy="14693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001006" cy="1474041"/>
                    </a:xfrm>
                    <a:prstGeom prst="rect">
                      <a:avLst/>
                    </a:prstGeom>
                    <a:noFill/>
                    <a:ln>
                      <a:noFill/>
                    </a:ln>
                  </pic:spPr>
                </pic:pic>
              </a:graphicData>
            </a:graphic>
          </wp:inline>
        </w:drawing>
      </w:r>
    </w:p>
    <w:p>
      <w:pPr>
        <w:jc w:val="center"/>
        <w:rPr>
          <w:color w:val="000000" w:themeColor="text1"/>
          <w14:textFill>
            <w14:solidFill>
              <w14:schemeClr w14:val="tx1"/>
            </w14:solidFill>
          </w14:textFill>
        </w:rPr>
      </w:pPr>
      <w:r>
        <w:rPr>
          <w:rFonts w:ascii="华文中宋" w:hAnsi="华文中宋" w:eastAsia="华文中宋"/>
          <w:color w:val="000000" w:themeColor="text1"/>
          <w:sz w:val="24"/>
          <w14:textFill>
            <w14:solidFill>
              <w14:schemeClr w14:val="tx1"/>
            </w14:solidFill>
          </w14:textFill>
        </w:rPr>
        <w:drawing>
          <wp:inline distT="0" distB="0" distL="0" distR="0">
            <wp:extent cx="3295650" cy="1236980"/>
            <wp:effectExtent l="0" t="0" r="0" b="0"/>
            <wp:docPr id="5" name="图片 5" descr="52045034210598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20450342105984962"/>
                    <pic:cNvPicPr>
                      <a:picLocks noChangeAspect="1" noChangeArrowheads="1"/>
                    </pic:cNvPicPr>
                  </pic:nvPicPr>
                  <pic:blipFill>
                    <a:blip r:embed="rId13">
                      <a:extLst>
                        <a:ext uri="{28A0092B-C50C-407E-A947-70E740481C1C}">
                          <a14:useLocalDpi xmlns:a14="http://schemas.microsoft.com/office/drawing/2010/main" val="0"/>
                        </a:ext>
                      </a:extLst>
                    </a:blip>
                    <a:srcRect t="9143" b="12571"/>
                    <a:stretch>
                      <a:fillRect/>
                    </a:stretch>
                  </pic:blipFill>
                  <pic:spPr>
                    <a:xfrm>
                      <a:off x="0" y="0"/>
                      <a:ext cx="3298402" cy="1238030"/>
                    </a:xfrm>
                    <a:prstGeom prst="rect">
                      <a:avLst/>
                    </a:prstGeom>
                    <a:noFill/>
                    <a:ln>
                      <a:noFill/>
                    </a:ln>
                  </pic:spPr>
                </pic:pic>
              </a:graphicData>
            </a:graphic>
          </wp:inline>
        </w:drawing>
      </w:r>
    </w:p>
    <w:p>
      <w:pPr>
        <w:spacing w:line="560" w:lineRule="exact"/>
        <w:ind w:firstLine="560" w:firstLineChars="200"/>
        <w:rPr>
          <w:rFonts w:ascii="仿宋" w:hAnsi="仿宋" w:eastAsia="仿宋"/>
          <w:b/>
          <w:bCs/>
          <w:color w:val="000000" w:themeColor="text1"/>
          <w:sz w:val="28"/>
          <w:szCs w:val="28"/>
          <w14:textFill>
            <w14:solidFill>
              <w14:schemeClr w14:val="tx1"/>
            </w14:solidFill>
          </w14:textFill>
        </w:rPr>
      </w:pPr>
      <w:bookmarkStart w:id="16" w:name="_Toc245551489"/>
      <w:bookmarkStart w:id="17" w:name="_Toc532916374"/>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 xml:space="preserve"> 参赛选手的</w:t>
      </w:r>
      <w:bookmarkEnd w:id="16"/>
      <w:bookmarkEnd w:id="17"/>
      <w:r>
        <w:rPr>
          <w:rFonts w:hint="eastAsia" w:ascii="仿宋" w:hAnsi="仿宋" w:eastAsia="仿宋"/>
          <w:color w:val="000000" w:themeColor="text1"/>
          <w:sz w:val="28"/>
          <w:szCs w:val="28"/>
          <w14:textFill>
            <w14:solidFill>
              <w14:schemeClr w14:val="tx1"/>
            </w14:solidFill>
          </w14:textFill>
        </w:rPr>
        <w:t>要求</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（1）考生穿戴好劳动保护用品，携带特种作业操作证、准考证和身份证入场到达指定位置参赛。</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（2）考生须携带签字笔一支。</w:t>
      </w:r>
    </w:p>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18" w:name="_Toc532916375"/>
      <w:r>
        <w:rPr>
          <w:rFonts w:hint="eastAsia" w:ascii="黑体" w:hAnsi="黑体" w:eastAsia="黑体" w:cs="黑体"/>
          <w:b w:val="0"/>
          <w:bCs w:val="0"/>
          <w:color w:val="000000" w:themeColor="text1"/>
          <w:sz w:val="32"/>
          <w:szCs w:val="32"/>
          <w14:textFill>
            <w14:solidFill>
              <w14:schemeClr w14:val="tx1"/>
            </w14:solidFill>
          </w14:textFill>
        </w:rPr>
        <w:t>6.</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赛场安全</w:t>
      </w:r>
      <w:bookmarkEnd w:id="18"/>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6.1选手防护装备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参赛选手必须按照规定穿戴防护装备，见表，违规者不得参赛。</w:t>
      </w:r>
    </w:p>
    <w:tbl>
      <w:tblPr>
        <w:tblStyle w:val="14"/>
        <w:tblW w:w="6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92"/>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7" w:hRule="atLeast"/>
          <w:jc w:val="center"/>
        </w:trPr>
        <w:tc>
          <w:tcPr>
            <w:tcW w:w="992" w:type="dxa"/>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序号</w:t>
            </w:r>
          </w:p>
        </w:tc>
        <w:tc>
          <w:tcPr>
            <w:tcW w:w="5571" w:type="dxa"/>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需要穿戴的劳保用品种类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8" w:hRule="atLeast"/>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8" w:hRule="atLeast"/>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绝缘鞋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手套</w:t>
            </w:r>
          </w:p>
        </w:tc>
      </w:tr>
    </w:tbl>
    <w:p>
      <w:pPr>
        <w:spacing w:before="156" w:before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6.2选手禁止携带易燃易爆物品，见表，违规者不得参赛。</w:t>
      </w:r>
    </w:p>
    <w:tbl>
      <w:tblPr>
        <w:tblStyle w:val="14"/>
        <w:tblW w:w="6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92"/>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2" w:type="dxa"/>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序号</w:t>
            </w:r>
          </w:p>
        </w:tc>
        <w:tc>
          <w:tcPr>
            <w:tcW w:w="5571" w:type="dxa"/>
          </w:tcPr>
          <w:p>
            <w:pPr>
              <w:jc w:val="center"/>
              <w:rPr>
                <w:rFonts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严禁携带的违禁品种类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香烟与打火机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易燃易爆物品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瓶装液体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992"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w:t>
            </w:r>
          </w:p>
        </w:tc>
        <w:tc>
          <w:tcPr>
            <w:tcW w:w="5571" w:type="dxa"/>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腐蚀性或挥发性物品</w:t>
            </w:r>
          </w:p>
        </w:tc>
      </w:tr>
    </w:tbl>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6.3赛场必须留有安全通道。竞赛前必须明确告诉选手和裁判员安全通道和安全门位置。赛场必须配备灭火设备，并置于显著位置。赛场应具备良好的通风、照明和操作空间的条件。做好竞赛安全、健康和公共卫生及突发事件预防与应急处理等工作；</w:t>
      </w:r>
    </w:p>
    <w:p>
      <w:pPr>
        <w:ind w:firstLine="560" w:firstLineChars="200"/>
        <w:rPr>
          <w:rFonts w:ascii="黑体" w:hAnsi="黑体" w:eastAsia="黑体" w:cs="黑体"/>
          <w:b/>
          <w:bCs/>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6.4赛场必须配备医护人员和必须的药品。</w:t>
      </w:r>
    </w:p>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19" w:name="_Toc532916376"/>
      <w:r>
        <w:rPr>
          <w:rFonts w:hint="eastAsia" w:ascii="黑体" w:hAnsi="黑体" w:eastAsia="黑体" w:cs="黑体"/>
          <w:b w:val="0"/>
          <w:bCs w:val="0"/>
          <w:color w:val="000000" w:themeColor="text1"/>
          <w:sz w:val="32"/>
          <w:szCs w:val="32"/>
          <w14:textFill>
            <w14:solidFill>
              <w14:schemeClr w14:val="tx1"/>
            </w14:solidFill>
          </w14:textFill>
        </w:rPr>
        <w:t>7.</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裁判员工作内容</w:t>
      </w:r>
      <w:bookmarkEnd w:id="19"/>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7.1裁判员应服从裁判长的管理，裁判员的工作由裁判长现场指派决定；</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7.2裁判员在工作期间不得使用手机、照相机、录像机等设备；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7.3现场执裁的裁判员负责检查选手携带的物品。违规物品一律清出赛场；比赛结束后裁判员要命令选手停止操作；监督选手交回试题、U盘和评分表；</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7.4比赛期间，除裁判长外任何人员不得主动接近选手及其工作区域，不许主动与选手接触与交流，除非选手举手示意裁判长解决比赛中出现的问题；</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7.5检查选手所带工具：按照比赛携带工具要求严格执行，仔细检查每一个参赛选手所带工具是否符合要求；</w:t>
      </w:r>
    </w:p>
    <w:p>
      <w:pPr>
        <w:ind w:firstLine="560" w:firstLineChars="200"/>
        <w:rPr>
          <w:rFonts w:ascii="黑体" w:hAnsi="黑体" w:eastAsia="黑体" w:cs="黑体"/>
          <w:b/>
          <w:bCs/>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7.6记录选手比赛时间：包括记录选手比赛期间发生的事件，如：设备材料损坏等。</w:t>
      </w:r>
      <w:bookmarkStart w:id="20" w:name="page13"/>
      <w:bookmarkEnd w:id="20"/>
    </w:p>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21" w:name="_Toc532916377"/>
      <w:r>
        <w:rPr>
          <w:rFonts w:hint="eastAsia" w:ascii="黑体" w:hAnsi="黑体" w:eastAsia="黑体" w:cs="黑体"/>
          <w:b w:val="0"/>
          <w:bCs w:val="0"/>
          <w:color w:val="000000" w:themeColor="text1"/>
          <w:sz w:val="32"/>
          <w:szCs w:val="32"/>
          <w14:textFill>
            <w14:solidFill>
              <w14:schemeClr w14:val="tx1"/>
            </w14:solidFill>
          </w14:textFill>
        </w:rPr>
        <w:t>8.</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选手的工作内容</w:t>
      </w:r>
      <w:bookmarkEnd w:id="21"/>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8.1选手在熟悉设备前通过抽签决定竞赛顺序和比赛用设备；</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8.2比赛前选手在各自比赛设备上进行熟悉设备，检查自己所带工具；</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8.3每名选手需带齐必备设备，入场后，一律不准带离比赛工位；</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8.4比赛期间按要求完成比赛任务；</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8.5选手禁止将移动电话带入比赛工位；</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8.6在比赛期间不得使用手机、照相机、录像机等设备；不得携带和使用自带的任何存储设备；</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8.7正式比赛期间，除裁判长同意以外，选手禁止与裁判或相关人员交流；</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8.8比赛期间不得接近其他选手及其工作区域，选手有问题只能向裁判长反映；</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8.9比赛结束哨声响起以后，选手应执行完当前语句后立即停止工作，走出自己的比赛区域，除个人物品外，其他与比赛有关的物品一律不允许带出场地；</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8.10未经裁判长允许，选手不得拖延比赛时间；</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8.11参赛选手只允许在自己的比赛场地工作；</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8.12参赛选手只允许使用自己的器材与工具，除裁判长同意才可向他人借用；</w:t>
      </w:r>
    </w:p>
    <w:p>
      <w:pPr>
        <w:ind w:left="-143" w:leftChars="-68" w:right="-170" w:rightChars="-81" w:firstLine="560" w:firstLineChars="200"/>
        <w:rPr>
          <w:rFonts w:ascii="黑体" w:hAnsi="黑体" w:eastAsia="黑体" w:cs="黑体"/>
          <w:b/>
          <w:bCs/>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8.13在比赛期间参赛选手不准离开比赛场地，如果有特殊重要原因，必须通知裁判长。</w:t>
      </w:r>
    </w:p>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22" w:name="_Toc532916378"/>
      <w:r>
        <w:rPr>
          <w:rFonts w:hint="eastAsia" w:ascii="黑体" w:hAnsi="黑体" w:eastAsia="黑体" w:cs="黑体"/>
          <w:b w:val="0"/>
          <w:bCs w:val="0"/>
          <w:color w:val="000000" w:themeColor="text1"/>
          <w:sz w:val="32"/>
          <w:szCs w:val="32"/>
          <w14:textFill>
            <w14:solidFill>
              <w14:schemeClr w14:val="tx1"/>
            </w14:solidFill>
          </w14:textFill>
        </w:rPr>
        <w:t>9.</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开放赛场</w:t>
      </w:r>
      <w:bookmarkEnd w:id="22"/>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比赛承办方可在不影响选手比赛和裁判员工作的前提下提供开放式场地供参观者观摩，积极做好竞赛的宣传工作。</w:t>
      </w:r>
    </w:p>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23" w:name="_Toc532916379"/>
      <w:r>
        <w:rPr>
          <w:rFonts w:hint="eastAsia" w:ascii="黑体" w:hAnsi="黑体" w:eastAsia="黑体" w:cs="黑体"/>
          <w:b w:val="0"/>
          <w:bCs w:val="0"/>
          <w:color w:val="000000" w:themeColor="text1"/>
          <w:sz w:val="32"/>
          <w:szCs w:val="32"/>
          <w14:textFill>
            <w14:solidFill>
              <w14:schemeClr w14:val="tx1"/>
            </w14:solidFill>
          </w14:textFill>
        </w:rPr>
        <w:t>10.</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绿色环保</w:t>
      </w:r>
      <w:bookmarkEnd w:id="23"/>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10.1竞赛任何工作都不应该破坏赛场内外和周边环境。赛场内禁止吸烟；</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10.2提倡绿色制造的理念。可循环利用的材料应分类处理和收集。</w:t>
      </w:r>
    </w:p>
    <w:p>
      <w:pPr>
        <w:pStyle w:val="2"/>
        <w:spacing w:before="0" w:after="0" w:line="240" w:lineRule="auto"/>
        <w:rPr>
          <w:rFonts w:ascii="黑体" w:hAnsi="黑体" w:eastAsia="黑体" w:cs="黑体"/>
          <w:b w:val="0"/>
          <w:bCs w:val="0"/>
          <w:color w:val="000000" w:themeColor="text1"/>
          <w:sz w:val="32"/>
          <w:szCs w:val="32"/>
          <w14:textFill>
            <w14:solidFill>
              <w14:schemeClr w14:val="tx1"/>
            </w14:solidFill>
          </w14:textFill>
        </w:rPr>
      </w:pPr>
      <w:bookmarkStart w:id="24" w:name="_Toc532916380"/>
      <w:r>
        <w:rPr>
          <w:rFonts w:hint="eastAsia" w:ascii="黑体" w:hAnsi="黑体" w:eastAsia="黑体" w:cs="黑体"/>
          <w:b w:val="0"/>
          <w:bCs w:val="0"/>
          <w:color w:val="000000" w:themeColor="text1"/>
          <w:sz w:val="32"/>
          <w:szCs w:val="32"/>
          <w14:textFill>
            <w14:solidFill>
              <w14:schemeClr w14:val="tx1"/>
            </w14:solidFill>
          </w14:textFill>
        </w:rPr>
        <w:t>11.</w:t>
      </w:r>
      <w:r>
        <w:rPr>
          <w:rFonts w:ascii="黑体" w:hAnsi="黑体" w:eastAsia="黑体" w:cs="黑体"/>
          <w:b w:val="0"/>
          <w:bCs w:val="0"/>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安全与健康条例</w:t>
      </w:r>
      <w:bookmarkEnd w:id="24"/>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11.1每个选手都对自己的安全与健康负责。</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11.2每个选手必须保持自己的工作区域内场地、材料和设备的清洁。</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11.3使用安全眼镜，当您使用任何手动或电动工具打造芯片、污垢、灰尘或碎片时可能会损伤眼睛。</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11.4在工作中当噪音超过85分贝时，必须注意保护耳朵。</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11.5随身穿带工作服和安全鞋。</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11.6仅使用符合国际标准的工具。</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11.7在开始之前，你首先要要求裁判进行安全检查。</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11.8禁止带电进行调试工作。</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11.9所有修改必须在停机状态下进行。</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11.10在进行任何安装或维修工作前，必须确认设备处于停止状态。</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11.11禁止在比赛场馆吸烟。</w:t>
      </w:r>
    </w:p>
    <w:p>
      <w:pPr>
        <w:ind w:left="-143" w:leftChars="-68" w:right="-170" w:rightChars="-81" w:firstLine="560" w:firstLineChars="200"/>
        <w:rPr>
          <w:rFonts w:ascii="黑体" w:hAnsi="黑体" w:eastAsia="黑体" w:cs="黑体"/>
          <w:b/>
          <w:bCs/>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11.12参赛者必须确保工具和手的清洁。</w:t>
      </w:r>
    </w:p>
    <w:p>
      <w:pPr>
        <w:ind w:left="-143" w:leftChars="-68" w:right="-170" w:rightChars="-81" w:firstLine="560" w:firstLineChars="200"/>
        <w:rPr>
          <w:rFonts w:ascii="仿宋" w:hAnsi="仿宋" w:eastAsia="仿宋"/>
          <w:color w:val="000000" w:themeColor="text1"/>
          <w:sz w:val="28"/>
          <w:szCs w:val="28"/>
          <w14:textFill>
            <w14:solidFill>
              <w14:schemeClr w14:val="tx1"/>
            </w14:solidFill>
          </w14:textFill>
        </w:rPr>
      </w:pPr>
    </w:p>
    <w:p>
      <w:pPr>
        <w:wordWrap w:val="0"/>
        <w:ind w:left="3639" w:leftChars="1733" w:right="-29" w:firstLine="700" w:firstLineChars="250"/>
        <w:jc w:val="right"/>
        <w:rPr>
          <w:rFonts w:ascii="仿宋" w:hAnsi="仿宋" w:eastAsia="仿宋"/>
          <w:color w:val="000000" w:themeColor="text1"/>
          <w:sz w:val="28"/>
          <w:szCs w:val="28"/>
          <w14:textFill>
            <w14:solidFill>
              <w14:schemeClr w14:val="tx1"/>
            </w14:solidFill>
          </w14:textFill>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嫤疓B2312">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OEEEEV+FZHTJW--GB1-0">
    <w:altName w:val="宋体"/>
    <w:panose1 w:val="00000000000000000000"/>
    <w:charset w:val="86"/>
    <w:family w:val="swiss"/>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5"/>
                          </w:pPr>
                          <w:r>
                            <w:fldChar w:fldCharType="begin"/>
                          </w:r>
                          <w:r>
                            <w:instrText xml:space="preserve"> PAGE  \* MERGEFORMAT </w:instrText>
                          </w:r>
                          <w:r>
                            <w:fldChar w:fldCharType="separate"/>
                          </w:r>
                          <w:r>
                            <w:t>- 43 -</w:t>
                          </w:r>
                          <w: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LaZmfRAAAAAwEAAA8AAAAA&#10;AAAAAQAgAAAAIgAAAGRycy9kb3ducmV2LnhtbFBLAQIUABQAAAAIAIdO4kA62Jst4gEAALYDAAAO&#10;AAAAAAAAAAEAIAAAACABAABkcnMvZTJvRG9jLnhtbFBLBQYAAAAABgAGAFkBAAB0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posOffset>2609850</wp:posOffset>
              </wp:positionH>
              <wp:positionV relativeFrom="paragraph">
                <wp:posOffset>1905</wp:posOffset>
              </wp:positionV>
              <wp:extent cx="304800" cy="161925"/>
              <wp:effectExtent l="0" t="0" r="0" b="9525"/>
              <wp:wrapNone/>
              <wp:docPr id="1"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304800" cy="161925"/>
                      </a:xfrm>
                      <a:prstGeom prst="rect">
                        <a:avLst/>
                      </a:prstGeom>
                      <a:noFill/>
                      <a:ln>
                        <a:noFill/>
                      </a:ln>
                    </wps:spPr>
                    <wps:txbx>
                      <w:txbxContent>
                        <w:p>
                          <w:pPr>
                            <w:pStyle w:val="5"/>
                          </w:pPr>
                          <w:r>
                            <w:fldChar w:fldCharType="begin"/>
                          </w:r>
                          <w:r>
                            <w:instrText xml:space="preserve"> PAGE  \* MERGEFORMAT </w:instrText>
                          </w:r>
                          <w:r>
                            <w:fldChar w:fldCharType="separate"/>
                          </w:r>
                          <w:r>
                            <w:t>44</w:t>
                          </w:r>
                          <w:r>
                            <w:fldChar w:fldCharType="end"/>
                          </w:r>
                        </w:p>
                      </w:txbxContent>
                    </wps:txbx>
                    <wps:bodyPr rot="0" vert="horz" wrap="square" lIns="0" tIns="0" rIns="0" bIns="0" anchor="t" anchorCtr="0" upright="1">
                      <a:noAutofit/>
                    </wps:bodyPr>
                  </wps:wsp>
                </a:graphicData>
              </a:graphic>
            </wp:anchor>
          </w:drawing>
        </mc:Choice>
        <mc:Fallback>
          <w:pict>
            <v:shape id="Text Box 1029" o:spid="_x0000_s1026" o:spt="202" type="#_x0000_t202" style="position:absolute;left:0pt;margin-left:205.5pt;margin-top:0.15pt;height:12.75pt;width:24pt;mso-position-horizontal-relative:margin;z-index:251661312;mso-width-relative:page;mso-height-relative:page;" filled="f" stroked="f" coordsize="21600,21600" o:gfxdata="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y439YAAAAHAQAA&#10;DwAAAAAAAAABACAAAAAiAAAAZHJzL2Rvd25yZXYueG1sUEsBAhQAFAAAAAgAh07iQA2IsODiAQAA&#10;uAMAAA4AAAAAAAAAAQAgAAAAJQEAAGRycy9lMm9Eb2MueG1sUEsFBgAAAAAGAAYAWQEAAHkFAAAA&#10;AA==&#10;">
              <v:fill on="f" focussize="0,0"/>
              <v:stroke on="f"/>
              <v:imagedata o:title=""/>
              <o:lock v:ext="edit" aspectratio="f"/>
              <v:textbox inset="0mm,0mm,0mm,0mm">
                <w:txbxContent>
                  <w:p>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B1"/>
    <w:rsid w:val="00003D80"/>
    <w:rsid w:val="00014212"/>
    <w:rsid w:val="0001478E"/>
    <w:rsid w:val="0002009C"/>
    <w:rsid w:val="000241A7"/>
    <w:rsid w:val="0002511C"/>
    <w:rsid w:val="00025187"/>
    <w:rsid w:val="0007551B"/>
    <w:rsid w:val="000A142F"/>
    <w:rsid w:val="000E0C29"/>
    <w:rsid w:val="00132D8D"/>
    <w:rsid w:val="00137152"/>
    <w:rsid w:val="00163697"/>
    <w:rsid w:val="001703D0"/>
    <w:rsid w:val="001B4DA3"/>
    <w:rsid w:val="001C0D01"/>
    <w:rsid w:val="001D1CE4"/>
    <w:rsid w:val="001D3635"/>
    <w:rsid w:val="001D4B8F"/>
    <w:rsid w:val="001D5857"/>
    <w:rsid w:val="00201155"/>
    <w:rsid w:val="0025567F"/>
    <w:rsid w:val="00261802"/>
    <w:rsid w:val="0028170C"/>
    <w:rsid w:val="002B0747"/>
    <w:rsid w:val="002B7A96"/>
    <w:rsid w:val="002C4D51"/>
    <w:rsid w:val="002C5207"/>
    <w:rsid w:val="00311906"/>
    <w:rsid w:val="00321B25"/>
    <w:rsid w:val="00323EA9"/>
    <w:rsid w:val="0033503D"/>
    <w:rsid w:val="00336AE1"/>
    <w:rsid w:val="00340C29"/>
    <w:rsid w:val="003548E4"/>
    <w:rsid w:val="003560B1"/>
    <w:rsid w:val="0037589B"/>
    <w:rsid w:val="003979C0"/>
    <w:rsid w:val="003D4275"/>
    <w:rsid w:val="003E3F89"/>
    <w:rsid w:val="0040359A"/>
    <w:rsid w:val="00442E60"/>
    <w:rsid w:val="004606B4"/>
    <w:rsid w:val="004F76DD"/>
    <w:rsid w:val="005049AC"/>
    <w:rsid w:val="00507608"/>
    <w:rsid w:val="0056207B"/>
    <w:rsid w:val="005A0D46"/>
    <w:rsid w:val="005A23AC"/>
    <w:rsid w:val="005B4174"/>
    <w:rsid w:val="005F6214"/>
    <w:rsid w:val="005F73F8"/>
    <w:rsid w:val="005F7498"/>
    <w:rsid w:val="006124A9"/>
    <w:rsid w:val="00613474"/>
    <w:rsid w:val="00616725"/>
    <w:rsid w:val="00631CAB"/>
    <w:rsid w:val="006C3C7E"/>
    <w:rsid w:val="006D6598"/>
    <w:rsid w:val="00703110"/>
    <w:rsid w:val="00712559"/>
    <w:rsid w:val="00721E91"/>
    <w:rsid w:val="00742016"/>
    <w:rsid w:val="00772885"/>
    <w:rsid w:val="007845F5"/>
    <w:rsid w:val="00787856"/>
    <w:rsid w:val="0079283E"/>
    <w:rsid w:val="00882759"/>
    <w:rsid w:val="008B131A"/>
    <w:rsid w:val="008C21C0"/>
    <w:rsid w:val="008D36CA"/>
    <w:rsid w:val="008E3183"/>
    <w:rsid w:val="00936851"/>
    <w:rsid w:val="00946DCE"/>
    <w:rsid w:val="00976E7C"/>
    <w:rsid w:val="009B5B90"/>
    <w:rsid w:val="009B7807"/>
    <w:rsid w:val="009C513C"/>
    <w:rsid w:val="009C72EA"/>
    <w:rsid w:val="009D04CD"/>
    <w:rsid w:val="009D191F"/>
    <w:rsid w:val="009D670C"/>
    <w:rsid w:val="00A02019"/>
    <w:rsid w:val="00A50933"/>
    <w:rsid w:val="00A72C73"/>
    <w:rsid w:val="00A74D4A"/>
    <w:rsid w:val="00AD163A"/>
    <w:rsid w:val="00AD39B5"/>
    <w:rsid w:val="00AE3BAC"/>
    <w:rsid w:val="00B33D41"/>
    <w:rsid w:val="00B42C65"/>
    <w:rsid w:val="00B549A2"/>
    <w:rsid w:val="00B57044"/>
    <w:rsid w:val="00B63C77"/>
    <w:rsid w:val="00B716C6"/>
    <w:rsid w:val="00B902AD"/>
    <w:rsid w:val="00B945FD"/>
    <w:rsid w:val="00B968F4"/>
    <w:rsid w:val="00BD06E2"/>
    <w:rsid w:val="00BE552C"/>
    <w:rsid w:val="00BF27FA"/>
    <w:rsid w:val="00C175C6"/>
    <w:rsid w:val="00C17E41"/>
    <w:rsid w:val="00C252E2"/>
    <w:rsid w:val="00C53A32"/>
    <w:rsid w:val="00C55E86"/>
    <w:rsid w:val="00C66F78"/>
    <w:rsid w:val="00C94755"/>
    <w:rsid w:val="00CC2F5B"/>
    <w:rsid w:val="00CE1F5D"/>
    <w:rsid w:val="00CE3538"/>
    <w:rsid w:val="00CF4FCE"/>
    <w:rsid w:val="00D157D7"/>
    <w:rsid w:val="00D412DF"/>
    <w:rsid w:val="00D55773"/>
    <w:rsid w:val="00D60C6B"/>
    <w:rsid w:val="00D725C4"/>
    <w:rsid w:val="00D87AD3"/>
    <w:rsid w:val="00DB56D2"/>
    <w:rsid w:val="00DC14AA"/>
    <w:rsid w:val="00DC4D6A"/>
    <w:rsid w:val="00DD3137"/>
    <w:rsid w:val="00DD5839"/>
    <w:rsid w:val="00DE543B"/>
    <w:rsid w:val="00E313BD"/>
    <w:rsid w:val="00E329D1"/>
    <w:rsid w:val="00E7560D"/>
    <w:rsid w:val="00E90C84"/>
    <w:rsid w:val="00E91793"/>
    <w:rsid w:val="00EA00BE"/>
    <w:rsid w:val="00EA1E25"/>
    <w:rsid w:val="00ED0284"/>
    <w:rsid w:val="00EF0E33"/>
    <w:rsid w:val="00F5618B"/>
    <w:rsid w:val="00FE0A98"/>
    <w:rsid w:val="00FE5486"/>
    <w:rsid w:val="00FF3173"/>
    <w:rsid w:val="010A60AE"/>
    <w:rsid w:val="02351792"/>
    <w:rsid w:val="02522F89"/>
    <w:rsid w:val="03AC6734"/>
    <w:rsid w:val="04C13654"/>
    <w:rsid w:val="052221DF"/>
    <w:rsid w:val="061960B3"/>
    <w:rsid w:val="07FE0564"/>
    <w:rsid w:val="086B181B"/>
    <w:rsid w:val="08C67259"/>
    <w:rsid w:val="08F05C4D"/>
    <w:rsid w:val="09801EF8"/>
    <w:rsid w:val="0B634492"/>
    <w:rsid w:val="0BAA4175"/>
    <w:rsid w:val="0D1C1FBD"/>
    <w:rsid w:val="0D8C239F"/>
    <w:rsid w:val="0EBB7403"/>
    <w:rsid w:val="0F0A4A93"/>
    <w:rsid w:val="0F497236"/>
    <w:rsid w:val="0F8472B5"/>
    <w:rsid w:val="0FF102E0"/>
    <w:rsid w:val="10042EF8"/>
    <w:rsid w:val="1232425B"/>
    <w:rsid w:val="13AA0A58"/>
    <w:rsid w:val="150E7152"/>
    <w:rsid w:val="1515011C"/>
    <w:rsid w:val="154D63FE"/>
    <w:rsid w:val="15A93EAE"/>
    <w:rsid w:val="16523F9B"/>
    <w:rsid w:val="171128E0"/>
    <w:rsid w:val="18A43E09"/>
    <w:rsid w:val="18C37050"/>
    <w:rsid w:val="19764547"/>
    <w:rsid w:val="1A073AFD"/>
    <w:rsid w:val="1A70205A"/>
    <w:rsid w:val="1DF6303C"/>
    <w:rsid w:val="1F6B1069"/>
    <w:rsid w:val="1FC37DCE"/>
    <w:rsid w:val="204F76D5"/>
    <w:rsid w:val="211B39F2"/>
    <w:rsid w:val="21830B5E"/>
    <w:rsid w:val="21E86321"/>
    <w:rsid w:val="21FC424C"/>
    <w:rsid w:val="22162CD9"/>
    <w:rsid w:val="225A7F4B"/>
    <w:rsid w:val="24010A44"/>
    <w:rsid w:val="242C2096"/>
    <w:rsid w:val="24535800"/>
    <w:rsid w:val="27FD18B9"/>
    <w:rsid w:val="28DD599E"/>
    <w:rsid w:val="296B795A"/>
    <w:rsid w:val="2AE51DCA"/>
    <w:rsid w:val="2B9F2121"/>
    <w:rsid w:val="2CA73726"/>
    <w:rsid w:val="2E774202"/>
    <w:rsid w:val="2FF64C87"/>
    <w:rsid w:val="31516273"/>
    <w:rsid w:val="328B0DAB"/>
    <w:rsid w:val="33341BCB"/>
    <w:rsid w:val="34712B36"/>
    <w:rsid w:val="34C8597E"/>
    <w:rsid w:val="34D2500C"/>
    <w:rsid w:val="388E38A6"/>
    <w:rsid w:val="3A7E4E73"/>
    <w:rsid w:val="3BF04EB7"/>
    <w:rsid w:val="3C30281C"/>
    <w:rsid w:val="3E744557"/>
    <w:rsid w:val="3F377507"/>
    <w:rsid w:val="3F5D6E4E"/>
    <w:rsid w:val="3FE846A9"/>
    <w:rsid w:val="40256D79"/>
    <w:rsid w:val="413D22D7"/>
    <w:rsid w:val="424470E1"/>
    <w:rsid w:val="4358633D"/>
    <w:rsid w:val="43955821"/>
    <w:rsid w:val="43E519B3"/>
    <w:rsid w:val="44FE335D"/>
    <w:rsid w:val="45BD481E"/>
    <w:rsid w:val="45DA3BC3"/>
    <w:rsid w:val="465746CE"/>
    <w:rsid w:val="46606D15"/>
    <w:rsid w:val="46A304DA"/>
    <w:rsid w:val="47425F06"/>
    <w:rsid w:val="474D7799"/>
    <w:rsid w:val="475309E9"/>
    <w:rsid w:val="48E311B7"/>
    <w:rsid w:val="49CB7C13"/>
    <w:rsid w:val="4AAD2BC4"/>
    <w:rsid w:val="4AC24701"/>
    <w:rsid w:val="4B03458E"/>
    <w:rsid w:val="4B2F22F2"/>
    <w:rsid w:val="4CE23716"/>
    <w:rsid w:val="4CF476A4"/>
    <w:rsid w:val="4D1C16E1"/>
    <w:rsid w:val="4D343E3A"/>
    <w:rsid w:val="4D5377D4"/>
    <w:rsid w:val="50031B6E"/>
    <w:rsid w:val="516D441B"/>
    <w:rsid w:val="52162D2C"/>
    <w:rsid w:val="53934268"/>
    <w:rsid w:val="5515024C"/>
    <w:rsid w:val="55CB05B7"/>
    <w:rsid w:val="570E6010"/>
    <w:rsid w:val="58367BF4"/>
    <w:rsid w:val="58A75506"/>
    <w:rsid w:val="5A485A71"/>
    <w:rsid w:val="5B034F31"/>
    <w:rsid w:val="5CDB674E"/>
    <w:rsid w:val="5D2574AA"/>
    <w:rsid w:val="5D4D7D77"/>
    <w:rsid w:val="5D84680C"/>
    <w:rsid w:val="5E057EF5"/>
    <w:rsid w:val="5EAA18FB"/>
    <w:rsid w:val="63081A0C"/>
    <w:rsid w:val="63154FF7"/>
    <w:rsid w:val="63466D6E"/>
    <w:rsid w:val="63D91330"/>
    <w:rsid w:val="667B20FF"/>
    <w:rsid w:val="67C77723"/>
    <w:rsid w:val="6946244D"/>
    <w:rsid w:val="6A222435"/>
    <w:rsid w:val="6AD77459"/>
    <w:rsid w:val="6B215286"/>
    <w:rsid w:val="6BCF72C0"/>
    <w:rsid w:val="6CD060D8"/>
    <w:rsid w:val="6E15459E"/>
    <w:rsid w:val="6ED9150B"/>
    <w:rsid w:val="6F404D6A"/>
    <w:rsid w:val="703D1B5B"/>
    <w:rsid w:val="7319176F"/>
    <w:rsid w:val="744C2F5A"/>
    <w:rsid w:val="74600126"/>
    <w:rsid w:val="751545FF"/>
    <w:rsid w:val="757C5A8A"/>
    <w:rsid w:val="767E4E1F"/>
    <w:rsid w:val="7825496E"/>
    <w:rsid w:val="795E4224"/>
    <w:rsid w:val="7A0B3947"/>
    <w:rsid w:val="7B185590"/>
    <w:rsid w:val="7C060EFF"/>
    <w:rsid w:val="7CE11F86"/>
    <w:rsid w:val="7D026791"/>
    <w:rsid w:val="7E396ECA"/>
    <w:rsid w:val="7EBC62C0"/>
    <w:rsid w:val="7F461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Body Text First Indent"/>
    <w:basedOn w:val="1"/>
    <w:qFormat/>
    <w:uiPriority w:val="99"/>
    <w:pPr>
      <w:spacing w:line="300" w:lineRule="auto"/>
      <w:ind w:firstLine="476"/>
    </w:pPr>
    <w:rPr>
      <w:rFonts w:ascii="Times New Roman" w:hAnsi="Times New Roman"/>
      <w:sz w:val="24"/>
      <w:szCs w:val="24"/>
    </w:rPr>
  </w:style>
  <w:style w:type="paragraph" w:styleId="4">
    <w:name w:val="Balloon Text"/>
    <w:basedOn w:val="1"/>
    <w:link w:val="2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tabs>
        <w:tab w:val="right" w:leader="dot" w:pos="8410"/>
      </w:tabs>
      <w:spacing w:line="276" w:lineRule="auto"/>
      <w:jc w:val="left"/>
    </w:pPr>
    <w:rPr>
      <w:rFonts w:ascii="Calibri" w:hAnsi="Calibri"/>
      <w:kern w:val="0"/>
      <w:sz w:val="22"/>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qFormat/>
    <w:uiPriority w:val="99"/>
    <w:rPr>
      <w:rFonts w:cs="Times New Roman"/>
      <w:b/>
    </w:rPr>
  </w:style>
  <w:style w:type="character" w:styleId="11">
    <w:name w:val="page number"/>
    <w:basedOn w:val="9"/>
    <w:qFormat/>
    <w:uiPriority w:val="0"/>
  </w:style>
  <w:style w:type="character" w:styleId="12">
    <w:name w:val="Hyperlink"/>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标题 1 字符"/>
    <w:basedOn w:val="9"/>
    <w:link w:val="2"/>
    <w:qFormat/>
    <w:uiPriority w:val="9"/>
    <w:rPr>
      <w:b/>
      <w:bCs/>
      <w:kern w:val="44"/>
      <w:sz w:val="44"/>
      <w:szCs w:val="44"/>
    </w:rPr>
  </w:style>
  <w:style w:type="paragraph" w:customStyle="1" w:styleId="18">
    <w:name w:val="正文 New New New New New"/>
    <w:qFormat/>
    <w:uiPriority w:val="99"/>
    <w:pPr>
      <w:widowControl w:val="0"/>
      <w:jc w:val="both"/>
    </w:pPr>
    <w:rPr>
      <w:rFonts w:ascii="Times New Roman" w:hAnsi="Times New Roman" w:eastAsia="仿宋_GB2312" w:cs="Times New Roman"/>
      <w:color w:val="000000"/>
      <w:kern w:val="2"/>
      <w:sz w:val="32"/>
      <w:szCs w:val="21"/>
      <w:lang w:val="en-US" w:eastAsia="zh-CN" w:bidi="ar-SA"/>
    </w:rPr>
  </w:style>
  <w:style w:type="paragraph" w:customStyle="1" w:styleId="19">
    <w:name w:val="正文缩进 New"/>
    <w:basedOn w:val="18"/>
    <w:qFormat/>
    <w:uiPriority w:val="99"/>
    <w:pPr>
      <w:ind w:firstLine="420" w:firstLineChars="200"/>
    </w:pPr>
  </w:style>
  <w:style w:type="paragraph" w:customStyle="1" w:styleId="20">
    <w:name w:val="列出段落1"/>
    <w:basedOn w:val="1"/>
    <w:qFormat/>
    <w:uiPriority w:val="99"/>
    <w:pPr>
      <w:ind w:firstLine="420" w:firstLineChars="200"/>
    </w:pPr>
  </w:style>
  <w:style w:type="character" w:customStyle="1" w:styleId="21">
    <w:name w:val="p51"/>
    <w:qFormat/>
    <w:uiPriority w:val="99"/>
    <w:rPr>
      <w:rFonts w:ascii="嫤疓B2312" w:eastAsia="嫤疓B2312"/>
      <w:sz w:val="27"/>
    </w:rPr>
  </w:style>
  <w:style w:type="paragraph" w:customStyle="1" w:styleId="22">
    <w:name w:val="文本框"/>
    <w:qFormat/>
    <w:uiPriority w:val="0"/>
    <w:rPr>
      <w:rFonts w:ascii="Times New Roman" w:hAnsi="Times New Roman" w:eastAsia="宋体" w:cs="Times New Roman"/>
      <w:kern w:val="2"/>
      <w:sz w:val="21"/>
      <w:szCs w:val="24"/>
      <w:lang w:val="en-US" w:eastAsia="zh-CN" w:bidi="ar-SA"/>
    </w:rPr>
  </w:style>
  <w:style w:type="paragraph" w:styleId="23">
    <w:name w:val="List Paragraph"/>
    <w:basedOn w:val="1"/>
    <w:qFormat/>
    <w:uiPriority w:val="34"/>
    <w:pPr>
      <w:ind w:firstLine="420" w:firstLineChars="200"/>
    </w:pPr>
  </w:style>
  <w:style w:type="paragraph" w:customStyle="1" w:styleId="2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
    <w:name w:val="Pa4"/>
    <w:basedOn w:val="1"/>
    <w:next w:val="1"/>
    <w:unhideWhenUsed/>
    <w:qFormat/>
    <w:uiPriority w:val="99"/>
    <w:pPr>
      <w:autoSpaceDE w:val="0"/>
      <w:autoSpaceDN w:val="0"/>
      <w:adjustRightInd w:val="0"/>
      <w:spacing w:line="301" w:lineRule="atLeast"/>
      <w:jc w:val="left"/>
    </w:pPr>
    <w:rPr>
      <w:rFonts w:ascii="OEEEEV+FZHTJW--GB1-0" w:hAnsi="OEEEEV+FZHTJW--GB1-0" w:eastAsia="OEEEEV+FZHTJW--GB1-0"/>
      <w:color w:val="000000"/>
      <w:kern w:val="0"/>
      <w:sz w:val="24"/>
    </w:rPr>
  </w:style>
  <w:style w:type="paragraph" w:customStyle="1" w:styleId="26">
    <w:name w:val="_Style 4"/>
    <w:basedOn w:val="2"/>
    <w:next w:val="1"/>
    <w:qFormat/>
    <w:uiPriority w:val="39"/>
    <w:pPr>
      <w:widowControl/>
      <w:spacing w:before="480" w:after="0" w:line="276" w:lineRule="auto"/>
      <w:jc w:val="left"/>
      <w:outlineLvl w:val="9"/>
    </w:pPr>
    <w:rPr>
      <w:rFonts w:ascii="Cambria" w:hAnsi="Cambria" w:cs="Times New Roman"/>
      <w:color w:val="365F91"/>
      <w:kern w:val="0"/>
      <w:sz w:val="28"/>
      <w:szCs w:val="28"/>
    </w:rPr>
  </w:style>
  <w:style w:type="paragraph" w:customStyle="1" w:styleId="27">
    <w:name w:val="ParaAttribute1"/>
    <w:qFormat/>
    <w:uiPriority w:val="0"/>
    <w:pPr>
      <w:widowControl w:val="0"/>
      <w:wordWrap w:val="0"/>
      <w:jc w:val="center"/>
    </w:pPr>
    <w:rPr>
      <w:rFonts w:ascii="Times New Roman" w:hAnsi="Times New Roman" w:eastAsia="Batang" w:cs="Times New Roman"/>
      <w:lang w:val="en-US" w:eastAsia="zh-CN" w:bidi="ar-SA"/>
    </w:rPr>
  </w:style>
  <w:style w:type="character" w:customStyle="1" w:styleId="28">
    <w:name w:val="CharAttribute40"/>
    <w:qFormat/>
    <w:uiPriority w:val="0"/>
    <w:rPr>
      <w:rFonts w:ascii="仿宋_GB2312" w:eastAsia="仿宋_GB2312"/>
      <w:sz w:val="28"/>
    </w:rPr>
  </w:style>
  <w:style w:type="character" w:customStyle="1" w:styleId="29">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917</Words>
  <Characters>5228</Characters>
  <Lines>43</Lines>
  <Paragraphs>12</Paragraphs>
  <TotalTime>0</TotalTime>
  <ScaleCrop>false</ScaleCrop>
  <LinksUpToDate>false</LinksUpToDate>
  <CharactersWithSpaces>6133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2019-01-08T08:02:00Z</dcterms:created>
  <dc:creator>lenovo</dc:creator>
  <cp:lastModifiedBy>图腾</cp:lastModifiedBy>
  <cp:lastPrinted>2018-11-23T07:52:00Z</cp:lastPrinted>
  <dcterms:modified xsi:type="dcterms:W3CDTF">2019-02-20T07:56:43Z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