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89" w:rsidRDefault="00A35989" w:rsidP="00C85A10">
      <w:pPr>
        <w:pStyle w:val="a5"/>
        <w:shd w:val="clear" w:color="auto" w:fill="FFFFFF"/>
        <w:spacing w:before="0" w:beforeAutospacing="0" w:after="0" w:afterAutospacing="0" w:line="560" w:lineRule="exact"/>
        <w:jc w:val="center"/>
        <w:rPr>
          <w:rFonts w:ascii="方正小标宋简体" w:eastAsia="方正小标宋简体" w:hAnsi="Helvetica" w:hint="eastAsia"/>
          <w:color w:val="333333"/>
          <w:sz w:val="44"/>
          <w:szCs w:val="44"/>
        </w:rPr>
      </w:pPr>
      <w:r>
        <w:rPr>
          <w:rFonts w:ascii="方正小标宋简体" w:eastAsia="方正小标宋简体" w:hAnsi="Helvetica" w:hint="eastAsia"/>
          <w:color w:val="333333"/>
          <w:sz w:val="44"/>
          <w:szCs w:val="44"/>
        </w:rPr>
        <w:t>山东省科学技术厅</w:t>
      </w:r>
    </w:p>
    <w:p w:rsidR="00C85A10" w:rsidRPr="00C85A10" w:rsidRDefault="00C85A10" w:rsidP="00C85A10">
      <w:pPr>
        <w:pStyle w:val="a5"/>
        <w:shd w:val="clear" w:color="auto" w:fill="FFFFFF"/>
        <w:spacing w:before="0" w:beforeAutospacing="0" w:after="0" w:afterAutospacing="0" w:line="560" w:lineRule="exact"/>
        <w:jc w:val="center"/>
        <w:rPr>
          <w:rFonts w:ascii="方正小标宋简体" w:eastAsia="方正小标宋简体" w:hAnsi="Helvetica"/>
          <w:color w:val="333333"/>
          <w:sz w:val="44"/>
          <w:szCs w:val="44"/>
        </w:rPr>
      </w:pPr>
      <w:r w:rsidRPr="00C85A10">
        <w:rPr>
          <w:rFonts w:ascii="方正小标宋简体" w:eastAsia="方正小标宋简体" w:hAnsi="Helvetica" w:hint="eastAsia"/>
          <w:color w:val="333333"/>
          <w:sz w:val="44"/>
          <w:szCs w:val="44"/>
        </w:rPr>
        <w:t>关于报送202</w:t>
      </w:r>
      <w:r w:rsidR="00A35989">
        <w:rPr>
          <w:rFonts w:ascii="方正小标宋简体" w:eastAsia="方正小标宋简体" w:hAnsi="Helvetica" w:hint="eastAsia"/>
          <w:color w:val="333333"/>
          <w:sz w:val="44"/>
          <w:szCs w:val="44"/>
        </w:rPr>
        <w:t>2</w:t>
      </w:r>
      <w:r w:rsidRPr="00C85A10">
        <w:rPr>
          <w:rFonts w:ascii="方正小标宋简体" w:eastAsia="方正小标宋简体" w:hAnsi="Helvetica" w:hint="eastAsia"/>
          <w:color w:val="333333"/>
          <w:sz w:val="44"/>
          <w:szCs w:val="44"/>
        </w:rPr>
        <w:t>年度自然科学研究系列高级专业技术</w:t>
      </w:r>
      <w:bookmarkStart w:id="0" w:name="_GoBack"/>
      <w:bookmarkEnd w:id="0"/>
      <w:r w:rsidRPr="00C85A10">
        <w:rPr>
          <w:rFonts w:ascii="方正小标宋简体" w:eastAsia="方正小标宋简体" w:hAnsi="Helvetica" w:hint="eastAsia"/>
          <w:color w:val="333333"/>
          <w:sz w:val="44"/>
          <w:szCs w:val="44"/>
        </w:rPr>
        <w:t>职称评审材料的通知</w:t>
      </w:r>
    </w:p>
    <w:p w:rsidR="00C85A10" w:rsidRDefault="00C85A10" w:rsidP="00C85A10">
      <w:pPr>
        <w:pStyle w:val="a5"/>
        <w:shd w:val="clear" w:color="auto" w:fill="FFFFFF"/>
        <w:spacing w:before="0" w:beforeAutospacing="0" w:after="0" w:afterAutospacing="0" w:line="560" w:lineRule="exact"/>
        <w:rPr>
          <w:rFonts w:ascii="仿宋_GB2312" w:eastAsia="仿宋_GB2312" w:hAnsi="Helvetica"/>
          <w:color w:val="333333"/>
          <w:sz w:val="32"/>
          <w:szCs w:val="32"/>
        </w:rPr>
      </w:pPr>
    </w:p>
    <w:p w:rsidR="00A35989" w:rsidRPr="00A35989" w:rsidRDefault="00A35989" w:rsidP="00A35989">
      <w:pPr>
        <w:widowControl/>
        <w:shd w:val="clear" w:color="auto" w:fill="FFFFFF"/>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各市人力资源社会保障局、科技局，省直有关部门（单位）：</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根据《山东省职称评审管理服务实施办法》（鲁人社规〔2021〕1号）、《关于做好2022年度职称评审工作的公告》精神，为做好2022年度山东省自然科学研究高级专业技术职称评审材料报送工作，现将有关事项通知如下：</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黑体" w:eastAsia="黑体" w:hAnsi="黑体" w:cs="Helvetica" w:hint="eastAsia"/>
          <w:color w:val="333333"/>
          <w:kern w:val="0"/>
          <w:sz w:val="32"/>
          <w:szCs w:val="32"/>
        </w:rPr>
        <w:t>一、申报范围和条件</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楷体_gb2312" w:eastAsia="楷体_gb2312" w:hAnsi="Helvetica" w:cs="Helvetica" w:hint="eastAsia"/>
          <w:color w:val="333333"/>
          <w:kern w:val="0"/>
          <w:sz w:val="32"/>
          <w:szCs w:val="32"/>
        </w:rPr>
        <w:t>（一）申报范围</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凡在我省各类企业、事业单位（参照公务员法管理的事业单位除外）、社会团体、个体经济组织等用人单位从事自然科学研究专业技术工作，与用人单位确定了人员劳动（聘用）关系的专业技术人才以及从事自然科学研究专业技术工作的自由职业者，均可按规定的标准条件申报评审相应的职称。</w:t>
      </w:r>
    </w:p>
    <w:p w:rsidR="00A35989" w:rsidRPr="00A35989" w:rsidRDefault="00A35989" w:rsidP="00A35989">
      <w:pPr>
        <w:widowControl/>
        <w:shd w:val="clear" w:color="auto" w:fill="FFFFFF"/>
        <w:spacing w:line="560" w:lineRule="exact"/>
        <w:ind w:firstLineChars="200" w:firstLine="640"/>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2.在我省就业的港澳台专业技术人才，以及持有外国人永久居留证或海外高层次人才居住证的外籍人员，参加我省自然科学研究系列职称申报评审须符合《山东省科学技术厅</w:t>
      </w:r>
      <w:r w:rsidRPr="00A35989">
        <w:rPr>
          <w:rFonts w:ascii="仿宋_GB2312" w:eastAsia="仿宋_GB2312" w:hAnsi="Helvetica" w:cs="Helvetica" w:hint="eastAsia"/>
          <w:color w:val="333333"/>
          <w:kern w:val="0"/>
          <w:sz w:val="32"/>
          <w:szCs w:val="32"/>
        </w:rPr>
        <w:t> </w:t>
      </w:r>
      <w:r w:rsidRPr="00A35989">
        <w:rPr>
          <w:rFonts w:ascii="仿宋_GB2312" w:eastAsia="仿宋_GB2312" w:hAnsi="Helvetica" w:cs="Helvetica" w:hint="eastAsia"/>
          <w:color w:val="333333"/>
          <w:kern w:val="0"/>
          <w:sz w:val="32"/>
          <w:szCs w:val="32"/>
        </w:rPr>
        <w:t>山东省人力资源和社会保障厅关于印发&lt;自然科学研究人员职称评价标准条件（试行）&gt;的通知》（鲁科字〔2021〕146号）标准条件要求，可不受</w:t>
      </w:r>
      <w:proofErr w:type="gramStart"/>
      <w:r w:rsidRPr="00A35989">
        <w:rPr>
          <w:rFonts w:ascii="仿宋_GB2312" w:eastAsia="仿宋_GB2312" w:hAnsi="Helvetica" w:cs="Helvetica" w:hint="eastAsia"/>
          <w:color w:val="333333"/>
          <w:kern w:val="0"/>
          <w:sz w:val="32"/>
          <w:szCs w:val="32"/>
        </w:rPr>
        <w:t>原职称资格</w:t>
      </w:r>
      <w:proofErr w:type="gramEnd"/>
      <w:r w:rsidRPr="00A35989">
        <w:rPr>
          <w:rFonts w:ascii="仿宋_GB2312" w:eastAsia="仿宋_GB2312" w:hAnsi="Helvetica" w:cs="Helvetica" w:hint="eastAsia"/>
          <w:color w:val="333333"/>
          <w:kern w:val="0"/>
          <w:sz w:val="32"/>
          <w:szCs w:val="32"/>
        </w:rPr>
        <w:t>限制。</w:t>
      </w:r>
    </w:p>
    <w:p w:rsidR="00A35989" w:rsidRPr="00A35989" w:rsidRDefault="00A35989" w:rsidP="00A35989">
      <w:pPr>
        <w:widowControl/>
        <w:shd w:val="clear" w:color="auto" w:fill="FFFFFF"/>
        <w:spacing w:line="560" w:lineRule="exact"/>
        <w:ind w:firstLineChars="200" w:firstLine="640"/>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lastRenderedPageBreak/>
        <w:t>3.外省专业技术人才委托我省自然科学研究系列职称评审委员会评审的，需向省人力资源社会保障厅提交外省省级职称综合管理部门开具的委托评审函。中央驻</w:t>
      </w:r>
      <w:proofErr w:type="gramStart"/>
      <w:r w:rsidRPr="00A35989">
        <w:rPr>
          <w:rFonts w:ascii="仿宋_GB2312" w:eastAsia="仿宋_GB2312" w:hAnsi="Helvetica" w:cs="Helvetica" w:hint="eastAsia"/>
          <w:color w:val="333333"/>
          <w:kern w:val="0"/>
          <w:sz w:val="32"/>
          <w:szCs w:val="32"/>
        </w:rPr>
        <w:t>鲁单位</w:t>
      </w:r>
      <w:proofErr w:type="gramEnd"/>
      <w:r w:rsidRPr="00A35989">
        <w:rPr>
          <w:rFonts w:ascii="仿宋_GB2312" w:eastAsia="仿宋_GB2312" w:hAnsi="Helvetica" w:cs="Helvetica" w:hint="eastAsia"/>
          <w:color w:val="333333"/>
          <w:kern w:val="0"/>
          <w:sz w:val="32"/>
          <w:szCs w:val="32"/>
        </w:rPr>
        <w:t>和外省委国有驻</w:t>
      </w:r>
      <w:proofErr w:type="gramStart"/>
      <w:r w:rsidRPr="00A35989">
        <w:rPr>
          <w:rFonts w:ascii="仿宋_GB2312" w:eastAsia="仿宋_GB2312" w:hAnsi="Helvetica" w:cs="Helvetica" w:hint="eastAsia"/>
          <w:color w:val="333333"/>
          <w:kern w:val="0"/>
          <w:sz w:val="32"/>
          <w:szCs w:val="32"/>
        </w:rPr>
        <w:t>鲁企业</w:t>
      </w:r>
      <w:proofErr w:type="gramEnd"/>
      <w:r w:rsidRPr="00A35989">
        <w:rPr>
          <w:rFonts w:ascii="仿宋_GB2312" w:eastAsia="仿宋_GB2312" w:hAnsi="Helvetica" w:cs="Helvetica" w:hint="eastAsia"/>
          <w:color w:val="333333"/>
          <w:kern w:val="0"/>
          <w:sz w:val="32"/>
          <w:szCs w:val="32"/>
        </w:rPr>
        <w:t>及其分支机构（分公司、办事处等）专业技术人才，如需在我省申报评审的，需经有人事管理权限的主管部门开具委托函，相关程序按照《山东省人力资源和社会保障厅关于简化中央驻鲁单位高级职称委托评审手续的通知》（鲁人社字〔2019〕163号）规定执行。</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4.公务员、参照公务员法管理的人员、离退休人员不得参加职称申报评审。</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楷体_gb2312" w:eastAsia="楷体_gb2312" w:hAnsi="Helvetica" w:cs="Helvetica" w:hint="eastAsia"/>
          <w:color w:val="333333"/>
          <w:kern w:val="0"/>
          <w:sz w:val="32"/>
          <w:szCs w:val="32"/>
        </w:rPr>
        <w:t>（二）申报评审条件</w:t>
      </w:r>
    </w:p>
    <w:p w:rsidR="00A35989" w:rsidRPr="00A35989" w:rsidRDefault="00A35989" w:rsidP="00A35989">
      <w:pPr>
        <w:widowControl/>
        <w:shd w:val="clear" w:color="auto" w:fill="FFFFFF"/>
        <w:spacing w:line="560" w:lineRule="exact"/>
        <w:ind w:firstLineChars="200" w:firstLine="640"/>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1.2022年全省自然科研系列专业技术职称的申报和评审工作，按照《山东省科学技术厅</w:t>
      </w:r>
      <w:r w:rsidRPr="00A35989">
        <w:rPr>
          <w:rFonts w:ascii="仿宋_GB2312" w:eastAsia="仿宋_GB2312" w:hAnsi="Helvetica" w:cs="Helvetica" w:hint="eastAsia"/>
          <w:color w:val="333333"/>
          <w:kern w:val="0"/>
          <w:sz w:val="32"/>
          <w:szCs w:val="32"/>
        </w:rPr>
        <w:t> </w:t>
      </w:r>
      <w:r w:rsidRPr="00A35989">
        <w:rPr>
          <w:rFonts w:ascii="仿宋_GB2312" w:eastAsia="仿宋_GB2312" w:hAnsi="Helvetica" w:cs="Helvetica" w:hint="eastAsia"/>
          <w:color w:val="333333"/>
          <w:kern w:val="0"/>
          <w:sz w:val="32"/>
          <w:szCs w:val="32"/>
        </w:rPr>
        <w:t>山东省人力资源和社会保障厅关于印发&lt;自然科学研究人员职称评价标准条件（试行）&gt;的通知》（鲁科字〔2021〕146号）执行。</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2.技工院校中级工班、高级工班、预备技师（技师）班毕业，可分别按相当于中专、大专、本科学历申报评审相应专业职称。</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3.支持“专精特新”中小企业和制造业单项冠军企业自然科学研究人员申报职称，将技术创新、发明专利、成果转化、技术推广、标准制定等方面获得的工作绩效、创新成果作为重要参考。</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4.按照专业技术人员继续教育相关规定，完成要求的继续教育学时。专业技术人员职称申报时，“职称评审系统”将自动从</w:t>
      </w:r>
      <w:r w:rsidRPr="00A35989">
        <w:rPr>
          <w:rFonts w:ascii="仿宋_GB2312" w:eastAsia="仿宋_GB2312" w:hAnsi="Helvetica" w:cs="Helvetica" w:hint="eastAsia"/>
          <w:color w:val="333333"/>
          <w:kern w:val="0"/>
          <w:sz w:val="32"/>
          <w:szCs w:val="32"/>
        </w:rPr>
        <w:lastRenderedPageBreak/>
        <w:t>“山东专业技术人员继续教育管理服务平台”</w:t>
      </w:r>
      <w:proofErr w:type="gramStart"/>
      <w:r w:rsidRPr="00A35989">
        <w:rPr>
          <w:rFonts w:ascii="仿宋_GB2312" w:eastAsia="仿宋_GB2312" w:hAnsi="Helvetica" w:cs="Helvetica" w:hint="eastAsia"/>
          <w:color w:val="333333"/>
          <w:kern w:val="0"/>
          <w:sz w:val="32"/>
          <w:szCs w:val="32"/>
        </w:rPr>
        <w:t>提取近</w:t>
      </w:r>
      <w:proofErr w:type="gramEnd"/>
      <w:r w:rsidRPr="00A35989">
        <w:rPr>
          <w:rFonts w:ascii="仿宋_GB2312" w:eastAsia="仿宋_GB2312" w:hAnsi="Helvetica" w:cs="Helvetica" w:hint="eastAsia"/>
          <w:color w:val="333333"/>
          <w:kern w:val="0"/>
          <w:sz w:val="32"/>
          <w:szCs w:val="32"/>
        </w:rPr>
        <w:t>5年的继续教育数据。</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黑体" w:eastAsia="黑体" w:hAnsi="黑体" w:cs="Helvetica" w:hint="eastAsia"/>
          <w:color w:val="333333"/>
          <w:kern w:val="0"/>
          <w:sz w:val="32"/>
          <w:szCs w:val="32"/>
        </w:rPr>
        <w:t>二、申报和审核要求</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取得职称年限计算到2022年12月31日。</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楷体_gb2312" w:eastAsia="楷体_gb2312" w:hAnsi="Helvetica" w:cs="Helvetica" w:hint="eastAsia"/>
          <w:color w:val="333333"/>
          <w:kern w:val="0"/>
          <w:sz w:val="32"/>
          <w:szCs w:val="32"/>
        </w:rPr>
        <w:t>（一）网上申报要求</w:t>
      </w:r>
    </w:p>
    <w:p w:rsidR="00A35989" w:rsidRPr="00A35989" w:rsidRDefault="00A35989" w:rsidP="00A35989">
      <w:pPr>
        <w:widowControl/>
        <w:shd w:val="clear" w:color="auto" w:fill="FFFFFF"/>
        <w:spacing w:line="560" w:lineRule="exact"/>
        <w:ind w:firstLineChars="200" w:firstLine="640"/>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1.申报人员登录“山东省专业技术人员管理服务平台”的“职称申报评审系统”进行注册填报，平台网址为http://117.73.253.239:9000/rsrc。</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2.学历学位信息：准确填写并上传原件扫描件。评审依据学历应为国家承认的学历。</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3.</w:t>
      </w:r>
      <w:proofErr w:type="gramStart"/>
      <w:r w:rsidRPr="00A35989">
        <w:rPr>
          <w:rFonts w:ascii="仿宋_GB2312" w:eastAsia="仿宋_GB2312" w:hAnsi="Helvetica" w:cs="Helvetica" w:hint="eastAsia"/>
          <w:color w:val="333333"/>
          <w:kern w:val="0"/>
          <w:sz w:val="32"/>
          <w:szCs w:val="32"/>
        </w:rPr>
        <w:t>现专业</w:t>
      </w:r>
      <w:proofErr w:type="gramEnd"/>
      <w:r w:rsidRPr="00A35989">
        <w:rPr>
          <w:rFonts w:ascii="仿宋_GB2312" w:eastAsia="仿宋_GB2312" w:hAnsi="Helvetica" w:cs="Helvetica" w:hint="eastAsia"/>
          <w:color w:val="333333"/>
          <w:kern w:val="0"/>
          <w:sz w:val="32"/>
          <w:szCs w:val="32"/>
        </w:rPr>
        <w:t>技术职称：准确填写并上传现职称证书。</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proofErr w:type="gramStart"/>
      <w:r w:rsidRPr="00A35989">
        <w:rPr>
          <w:rFonts w:ascii="仿宋_GB2312" w:eastAsia="仿宋_GB2312" w:hAnsi="Helvetica" w:cs="Helvetica" w:hint="eastAsia"/>
          <w:color w:val="333333"/>
          <w:kern w:val="0"/>
          <w:sz w:val="32"/>
          <w:szCs w:val="32"/>
        </w:rPr>
        <w:t>改系列</w:t>
      </w:r>
      <w:proofErr w:type="gramEnd"/>
      <w:r w:rsidRPr="00A35989">
        <w:rPr>
          <w:rFonts w:ascii="仿宋_GB2312" w:eastAsia="仿宋_GB2312" w:hAnsi="Helvetica" w:cs="Helvetica" w:hint="eastAsia"/>
          <w:color w:val="333333"/>
          <w:kern w:val="0"/>
          <w:sz w:val="32"/>
          <w:szCs w:val="32"/>
        </w:rPr>
        <w:t>申报人员还需</w:t>
      </w:r>
      <w:proofErr w:type="gramStart"/>
      <w:r w:rsidRPr="00A35989">
        <w:rPr>
          <w:rFonts w:ascii="仿宋_GB2312" w:eastAsia="仿宋_GB2312" w:hAnsi="Helvetica" w:cs="Helvetica" w:hint="eastAsia"/>
          <w:color w:val="333333"/>
          <w:kern w:val="0"/>
          <w:sz w:val="32"/>
          <w:szCs w:val="32"/>
        </w:rPr>
        <w:t>上传原《专业技术职称评审表》</w:t>
      </w:r>
      <w:proofErr w:type="gramEnd"/>
      <w:r w:rsidRPr="00A35989">
        <w:rPr>
          <w:rFonts w:ascii="仿宋_GB2312" w:eastAsia="仿宋_GB2312" w:hAnsi="Helvetica" w:cs="Helvetica" w:hint="eastAsia"/>
          <w:color w:val="333333"/>
          <w:kern w:val="0"/>
          <w:sz w:val="32"/>
          <w:szCs w:val="32"/>
        </w:rPr>
        <w:t>或《专业技术职务呈报表》原件扫描件，或经单位人事部门审核、负责人签字、单位盖章的复印件扫描件。</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4.近5年学习培训及继续教育经历：系统自动生成数据。</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5.取得现职称以来的代表性成果及受奖情况上传原件扫描件，不允许填写取得现职称以前和无原件的成果及奖项。</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6.取得现职称以来发表出版的代表性论文、著作、作品，需上传原件扫描件（论文需上</w:t>
      </w:r>
      <w:proofErr w:type="gramStart"/>
      <w:r w:rsidRPr="00A35989">
        <w:rPr>
          <w:rFonts w:ascii="仿宋_GB2312" w:eastAsia="仿宋_GB2312" w:hAnsi="Helvetica" w:cs="Helvetica" w:hint="eastAsia"/>
          <w:color w:val="333333"/>
          <w:kern w:val="0"/>
          <w:sz w:val="32"/>
          <w:szCs w:val="32"/>
        </w:rPr>
        <w:t>传体现</w:t>
      </w:r>
      <w:proofErr w:type="gramEnd"/>
      <w:r w:rsidRPr="00A35989">
        <w:rPr>
          <w:rFonts w:ascii="仿宋_GB2312" w:eastAsia="仿宋_GB2312" w:hAnsi="Helvetica" w:cs="Helvetica" w:hint="eastAsia"/>
          <w:color w:val="333333"/>
          <w:kern w:val="0"/>
          <w:sz w:val="32"/>
          <w:szCs w:val="32"/>
        </w:rPr>
        <w:t>刊号的期刊封面、目录、原文，著作需上传封面、编辑人员页、目录页、内容页等），不允许填写取得现职称以前和无原件的论文、著作和作品；填写时间为报刊或著作的出版时间。</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lastRenderedPageBreak/>
        <w:t>7.上</w:t>
      </w:r>
      <w:proofErr w:type="gramStart"/>
      <w:r w:rsidRPr="00A35989">
        <w:rPr>
          <w:rFonts w:ascii="仿宋_GB2312" w:eastAsia="仿宋_GB2312" w:hAnsi="Helvetica" w:cs="Helvetica" w:hint="eastAsia"/>
          <w:color w:val="333333"/>
          <w:kern w:val="0"/>
          <w:sz w:val="32"/>
          <w:szCs w:val="32"/>
        </w:rPr>
        <w:t>传其他</w:t>
      </w:r>
      <w:proofErr w:type="gramEnd"/>
      <w:r w:rsidRPr="00A35989">
        <w:rPr>
          <w:rFonts w:ascii="仿宋_GB2312" w:eastAsia="仿宋_GB2312" w:hAnsi="Helvetica" w:cs="Helvetica" w:hint="eastAsia"/>
          <w:color w:val="333333"/>
          <w:kern w:val="0"/>
          <w:sz w:val="32"/>
          <w:szCs w:val="32"/>
        </w:rPr>
        <w:t>附件：上传《“六公开”监督卡》、破格申报人员所在单位出具并加盖单位公章的破格推荐报告、委托评审函等其他必须上传的证明材料原件扫描件。</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8. 评审费用：职称评审收费按照《关于改革专业技术职务资格评审收费有关问题的通知》（</w:t>
      </w:r>
      <w:proofErr w:type="gramStart"/>
      <w:r w:rsidRPr="00A35989">
        <w:rPr>
          <w:rFonts w:ascii="仿宋_GB2312" w:eastAsia="仿宋_GB2312" w:hAnsi="Helvetica" w:cs="Helvetica" w:hint="eastAsia"/>
          <w:color w:val="333333"/>
          <w:kern w:val="0"/>
          <w:sz w:val="32"/>
          <w:szCs w:val="32"/>
        </w:rPr>
        <w:t>鲁发改成本</w:t>
      </w:r>
      <w:proofErr w:type="gramEnd"/>
      <w:r w:rsidRPr="00A35989">
        <w:rPr>
          <w:rFonts w:ascii="仿宋_GB2312" w:eastAsia="仿宋_GB2312" w:hAnsi="Helvetica" w:cs="Helvetica" w:hint="eastAsia"/>
          <w:color w:val="333333"/>
          <w:kern w:val="0"/>
          <w:sz w:val="32"/>
          <w:szCs w:val="32"/>
        </w:rPr>
        <w:t>〔2021〕638号）规定执行。</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楷体_gb2312" w:eastAsia="楷体_gb2312" w:hAnsi="Helvetica" w:cs="Helvetica" w:hint="eastAsia"/>
          <w:color w:val="333333"/>
          <w:kern w:val="0"/>
          <w:sz w:val="32"/>
          <w:szCs w:val="32"/>
        </w:rPr>
        <w:t>（二）纸质材料报送要求</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1.《山东省专业技术职称评审表》5份（A3纸型，</w:t>
      </w:r>
      <w:proofErr w:type="gramStart"/>
      <w:r w:rsidRPr="00A35989">
        <w:rPr>
          <w:rFonts w:ascii="仿宋_GB2312" w:eastAsia="仿宋_GB2312" w:hAnsi="Helvetica" w:cs="Helvetica" w:hint="eastAsia"/>
          <w:color w:val="333333"/>
          <w:kern w:val="0"/>
          <w:sz w:val="32"/>
          <w:szCs w:val="32"/>
        </w:rPr>
        <w:t>须系统</w:t>
      </w:r>
      <w:proofErr w:type="gramEnd"/>
      <w:r w:rsidRPr="00A35989">
        <w:rPr>
          <w:rFonts w:ascii="仿宋_GB2312" w:eastAsia="仿宋_GB2312" w:hAnsi="Helvetica" w:cs="Helvetica" w:hint="eastAsia"/>
          <w:color w:val="333333"/>
          <w:kern w:val="0"/>
          <w:sz w:val="32"/>
          <w:szCs w:val="32"/>
        </w:rPr>
        <w:t>导出，双面打印，原件）。</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2.呈报单位提供《申报人员花名册》1份，并加盖单位公章。</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3.以上材料需经工作单位及呈报部门审批盖章，报送材料封面要清晰注明各种材料详细名称及数量、呈报部门、申报人姓名、工作单位、拟申报职称资格、申报方式。实际材料件数与档案袋封面目录必须相符。</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楷体_gb2312" w:eastAsia="楷体_gb2312" w:hAnsi="Helvetica" w:cs="Helvetica" w:hint="eastAsia"/>
          <w:color w:val="333333"/>
          <w:kern w:val="0"/>
          <w:sz w:val="32"/>
          <w:szCs w:val="32"/>
        </w:rPr>
        <w:t>（三）申报材料审核等要求</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1.单位审核</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用人单位应当打破档案、身份的限制，健全本单位职称申报推荐程序，对申报人申报材料的合法性、真实性、完整性和有效性进行审核，并在单位内部进行公示，公示期不少于5个工作日；经公示无异议的，按照职称评审管理权限逐级推荐上报。对不符合申报条件的材料，应及时退回并向申报人说明原因。</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lastRenderedPageBreak/>
        <w:t>非公有制经济组织的专业技术人员按照所属地原则可以由所在地的县（市、区）人力资源社会保障行政部门或者人事代理机构推荐上报。自由职业者可以由人事代理机构或者所在社区、乡镇（街道）人力资源社会保障服务机构履行审核、公示、上报等程序。</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2.主管部门、呈报部门审核</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单位主管部门、呈报部门要认真审核申报材料。对不符合申报条件和程序、超出评委会受理范围或违反委托评审程序报送的申报材料，应及时退回。凡有以下情形之一的，不予受理：（1）不符合评审条件；（2）不符合填写规范；（3）不按规定时间、程序报送；（4）</w:t>
      </w:r>
      <w:proofErr w:type="gramStart"/>
      <w:r w:rsidRPr="00A35989">
        <w:rPr>
          <w:rFonts w:ascii="仿宋_GB2312" w:eastAsia="仿宋_GB2312" w:hAnsi="Helvetica" w:cs="Helvetica" w:hint="eastAsia"/>
          <w:color w:val="333333"/>
          <w:kern w:val="0"/>
          <w:sz w:val="32"/>
          <w:szCs w:val="32"/>
        </w:rPr>
        <w:t>未经或</w:t>
      </w:r>
      <w:proofErr w:type="gramEnd"/>
      <w:r w:rsidRPr="00A35989">
        <w:rPr>
          <w:rFonts w:ascii="仿宋_GB2312" w:eastAsia="仿宋_GB2312" w:hAnsi="Helvetica" w:cs="Helvetica" w:hint="eastAsia"/>
          <w:color w:val="333333"/>
          <w:kern w:val="0"/>
          <w:sz w:val="32"/>
          <w:szCs w:val="32"/>
        </w:rPr>
        <w:t>未按规定进行公示；（5）有弄虚作假行为；（6）其它不符合职称政策规定的。</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3.材料报送时间、地点</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请各呈报单位于2022年10月21日前审核提交申报数据，届时系统锁定数据。纸质版评审材料于10月28日前报省科技厅人事处，同时登记缴费信息（缴款人全称、手机号、邮箱），逾期不再受理。呈报的成果、著作、论文、奖励等材料的截止日期为2022年10月21日，超期的不予认可。</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报送地点：济南市高</w:t>
      </w:r>
      <w:proofErr w:type="gramStart"/>
      <w:r w:rsidRPr="00A35989">
        <w:rPr>
          <w:rFonts w:ascii="仿宋_GB2312" w:eastAsia="仿宋_GB2312" w:hAnsi="Helvetica" w:cs="Helvetica" w:hint="eastAsia"/>
          <w:color w:val="333333"/>
          <w:kern w:val="0"/>
          <w:sz w:val="32"/>
          <w:szCs w:val="32"/>
        </w:rPr>
        <w:t>新区舜华路</w:t>
      </w:r>
      <w:proofErr w:type="gramEnd"/>
      <w:r w:rsidRPr="00A35989">
        <w:rPr>
          <w:rFonts w:ascii="仿宋_GB2312" w:eastAsia="仿宋_GB2312" w:hAnsi="Helvetica" w:cs="Helvetica" w:hint="eastAsia"/>
          <w:color w:val="333333"/>
          <w:kern w:val="0"/>
          <w:sz w:val="32"/>
          <w:szCs w:val="32"/>
        </w:rPr>
        <w:t>607号科技大厦1315房间</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联系人：曹倩</w:t>
      </w:r>
      <w:r w:rsidRPr="00A35989">
        <w:rPr>
          <w:rFonts w:ascii="仿宋_GB2312" w:eastAsia="仿宋_GB2312" w:hAnsi="Helvetica" w:cs="Helvetica" w:hint="eastAsia"/>
          <w:color w:val="333333"/>
          <w:kern w:val="0"/>
          <w:sz w:val="32"/>
          <w:szCs w:val="32"/>
        </w:rPr>
        <w:t> </w:t>
      </w:r>
      <w:r w:rsidRPr="00A35989">
        <w:rPr>
          <w:rFonts w:ascii="仿宋_GB2312" w:eastAsia="仿宋_GB2312" w:hAnsi="Helvetica" w:cs="Helvetica" w:hint="eastAsia"/>
          <w:color w:val="333333"/>
          <w:kern w:val="0"/>
          <w:sz w:val="32"/>
          <w:szCs w:val="32"/>
        </w:rPr>
        <w:t>石婷婷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电话（传真）：0531－51751039，51751035</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黑体" w:eastAsia="黑体" w:hAnsi="黑体" w:cs="Helvetica" w:hint="eastAsia"/>
          <w:color w:val="333333"/>
          <w:kern w:val="0"/>
          <w:sz w:val="32"/>
          <w:szCs w:val="32"/>
        </w:rPr>
        <w:t>三、其他</w:t>
      </w:r>
    </w:p>
    <w:p w:rsidR="00A35989" w:rsidRDefault="00A35989" w:rsidP="00A35989">
      <w:pPr>
        <w:widowControl/>
        <w:shd w:val="clear" w:color="auto" w:fill="FFFFFF"/>
        <w:spacing w:line="560" w:lineRule="exact"/>
        <w:ind w:firstLineChars="200" w:firstLine="640"/>
        <w:jc w:val="left"/>
        <w:rPr>
          <w:rFonts w:ascii="Helvetica" w:eastAsia="宋体" w:hAnsi="Helvetica" w:cs="Helvetica" w:hint="eastAsia"/>
          <w:color w:val="333333"/>
          <w:kern w:val="0"/>
          <w:szCs w:val="21"/>
        </w:rPr>
      </w:pPr>
      <w:r w:rsidRPr="00A35989">
        <w:rPr>
          <w:rFonts w:ascii="仿宋_GB2312" w:eastAsia="仿宋_GB2312" w:hAnsi="Helvetica" w:cs="Helvetica" w:hint="eastAsia"/>
          <w:color w:val="333333"/>
          <w:kern w:val="0"/>
          <w:sz w:val="32"/>
          <w:szCs w:val="32"/>
        </w:rPr>
        <w:lastRenderedPageBreak/>
        <w:t>本通知未尽事宜，按照国家和省现行政策执行。工作过程中，如遇其他重大政策调整，按新的政策执行。</w:t>
      </w:r>
    </w:p>
    <w:p w:rsidR="00A35989" w:rsidRDefault="00A35989" w:rsidP="00A35989">
      <w:pPr>
        <w:widowControl/>
        <w:shd w:val="clear" w:color="auto" w:fill="FFFFFF"/>
        <w:spacing w:line="560" w:lineRule="exact"/>
        <w:ind w:firstLineChars="200" w:firstLine="640"/>
        <w:jc w:val="left"/>
        <w:rPr>
          <w:rFonts w:ascii="仿宋_GB2312" w:eastAsia="仿宋_GB2312" w:hAnsi="Helvetica" w:cs="Helvetica" w:hint="eastAsia"/>
          <w:color w:val="333333"/>
          <w:kern w:val="0"/>
          <w:sz w:val="32"/>
          <w:szCs w:val="32"/>
        </w:rPr>
      </w:pPr>
    </w:p>
    <w:p w:rsidR="00A35989" w:rsidRDefault="00A35989" w:rsidP="00A35989">
      <w:pPr>
        <w:widowControl/>
        <w:shd w:val="clear" w:color="auto" w:fill="FFFFFF"/>
        <w:spacing w:line="560" w:lineRule="exact"/>
        <w:ind w:firstLineChars="200" w:firstLine="640"/>
        <w:jc w:val="left"/>
        <w:rPr>
          <w:rFonts w:ascii="仿宋_GB2312" w:eastAsia="仿宋_GB2312" w:hAnsi="Helvetica" w:cs="Helvetica" w:hint="eastAsia"/>
          <w:color w:val="333333"/>
          <w:kern w:val="0"/>
          <w:sz w:val="32"/>
          <w:szCs w:val="32"/>
        </w:rPr>
      </w:pPr>
      <w:r w:rsidRPr="00A35989">
        <w:rPr>
          <w:rFonts w:ascii="仿宋_GB2312" w:eastAsia="仿宋_GB2312" w:hAnsi="Helvetica" w:cs="Helvetica" w:hint="eastAsia"/>
          <w:color w:val="333333"/>
          <w:kern w:val="0"/>
          <w:sz w:val="32"/>
          <w:szCs w:val="32"/>
        </w:rPr>
        <w:t>附件：部分职称评审相关政策及摘编</w:t>
      </w:r>
    </w:p>
    <w:p w:rsidR="00A35989" w:rsidRDefault="00A35989" w:rsidP="00A35989">
      <w:pPr>
        <w:widowControl/>
        <w:shd w:val="clear" w:color="auto" w:fill="FFFFFF"/>
        <w:spacing w:line="560" w:lineRule="exact"/>
        <w:ind w:firstLineChars="200" w:firstLine="640"/>
        <w:jc w:val="left"/>
        <w:rPr>
          <w:rFonts w:ascii="仿宋_GB2312" w:eastAsia="仿宋_GB2312" w:hAnsi="Helvetica" w:cs="Helvetica" w:hint="eastAsia"/>
          <w:color w:val="333333"/>
          <w:kern w:val="0"/>
          <w:sz w:val="32"/>
          <w:szCs w:val="32"/>
        </w:rPr>
      </w:pPr>
    </w:p>
    <w:p w:rsidR="00A35989" w:rsidRPr="00A35989" w:rsidRDefault="00A35989" w:rsidP="00A35989">
      <w:pPr>
        <w:widowControl/>
        <w:shd w:val="clear" w:color="auto" w:fill="FFFFFF"/>
        <w:spacing w:line="560" w:lineRule="exact"/>
        <w:ind w:firstLineChars="200" w:firstLine="420"/>
        <w:jc w:val="left"/>
        <w:rPr>
          <w:rFonts w:ascii="Helvetica" w:eastAsia="宋体" w:hAnsi="Helvetica" w:cs="Helvetica"/>
          <w:color w:val="333333"/>
          <w:kern w:val="0"/>
          <w:szCs w:val="21"/>
        </w:rPr>
      </w:pPr>
    </w:p>
    <w:p w:rsidR="00A35989" w:rsidRPr="00A35989" w:rsidRDefault="00A35989" w:rsidP="00A35989">
      <w:pPr>
        <w:widowControl/>
        <w:shd w:val="clear" w:color="auto" w:fill="FFFFFF"/>
        <w:spacing w:line="560" w:lineRule="exact"/>
        <w:ind w:firstLineChars="200" w:firstLine="640"/>
        <w:jc w:val="righ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山东省科学技术厅</w:t>
      </w:r>
    </w:p>
    <w:p w:rsidR="00A35989" w:rsidRPr="00A35989" w:rsidRDefault="00A35989" w:rsidP="00A35989">
      <w:pPr>
        <w:widowControl/>
        <w:shd w:val="clear" w:color="auto" w:fill="FFFFFF"/>
        <w:spacing w:line="560" w:lineRule="exact"/>
        <w:ind w:firstLineChars="200" w:firstLine="640"/>
        <w:jc w:val="righ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2022年9月6日</w:t>
      </w: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jc w:val="left"/>
        <w:rPr>
          <w:rFonts w:ascii="黑体" w:eastAsia="黑体" w:hAnsi="黑体" w:cs="Helvetica" w:hint="eastAsia"/>
          <w:color w:val="333333"/>
          <w:kern w:val="0"/>
          <w:sz w:val="32"/>
          <w:szCs w:val="32"/>
        </w:rPr>
      </w:pPr>
    </w:p>
    <w:p w:rsidR="00A35989" w:rsidRDefault="00A35989" w:rsidP="00A35989">
      <w:pPr>
        <w:widowControl/>
        <w:shd w:val="clear" w:color="auto" w:fill="FFFFFF"/>
        <w:spacing w:line="560" w:lineRule="exact"/>
        <w:rPr>
          <w:rFonts w:ascii="黑体" w:eastAsia="黑体" w:hAnsi="黑体" w:cs="Helvetica" w:hint="eastAsia"/>
          <w:color w:val="333333"/>
          <w:kern w:val="0"/>
          <w:sz w:val="32"/>
          <w:szCs w:val="32"/>
        </w:rPr>
      </w:pPr>
      <w:r w:rsidRPr="00A35989">
        <w:rPr>
          <w:rFonts w:ascii="黑体" w:eastAsia="黑体" w:hAnsi="黑体" w:cs="Helvetica" w:hint="eastAsia"/>
          <w:color w:val="333333"/>
          <w:kern w:val="0"/>
          <w:sz w:val="32"/>
          <w:szCs w:val="32"/>
        </w:rPr>
        <w:lastRenderedPageBreak/>
        <w:t>附件</w:t>
      </w:r>
    </w:p>
    <w:p w:rsidR="00A35989" w:rsidRPr="00A35989" w:rsidRDefault="00A35989" w:rsidP="00A35989">
      <w:pPr>
        <w:widowControl/>
        <w:shd w:val="clear" w:color="auto" w:fill="FFFFFF"/>
        <w:spacing w:line="560" w:lineRule="exact"/>
        <w:ind w:firstLineChars="200" w:firstLine="420"/>
        <w:jc w:val="center"/>
        <w:rPr>
          <w:rFonts w:ascii="Helvetica" w:eastAsia="宋体" w:hAnsi="Helvetica" w:cs="Helvetica"/>
          <w:color w:val="333333"/>
          <w:kern w:val="0"/>
          <w:szCs w:val="21"/>
        </w:rPr>
      </w:pPr>
    </w:p>
    <w:p w:rsidR="00A35989" w:rsidRDefault="00A35989" w:rsidP="00A35989">
      <w:pPr>
        <w:widowControl/>
        <w:shd w:val="clear" w:color="auto" w:fill="FFFFFF"/>
        <w:spacing w:line="560" w:lineRule="exact"/>
        <w:jc w:val="center"/>
        <w:rPr>
          <w:rFonts w:ascii="Helvetica" w:eastAsia="宋体" w:hAnsi="Helvetica" w:cs="Helvetica" w:hint="eastAsia"/>
          <w:color w:val="333333"/>
          <w:kern w:val="0"/>
          <w:szCs w:val="21"/>
        </w:rPr>
      </w:pPr>
      <w:r w:rsidRPr="00A35989">
        <w:rPr>
          <w:rFonts w:ascii="方正小标宋简体" w:eastAsia="方正小标宋简体" w:hAnsi="Helvetica" w:cs="Helvetica" w:hint="eastAsia"/>
          <w:color w:val="333333"/>
          <w:kern w:val="0"/>
          <w:sz w:val="44"/>
          <w:szCs w:val="44"/>
        </w:rPr>
        <w:t>部分职称评审相关政策及摘编</w:t>
      </w:r>
    </w:p>
    <w:p w:rsidR="00A35989" w:rsidRDefault="00A35989" w:rsidP="00A35989">
      <w:pPr>
        <w:widowControl/>
        <w:shd w:val="clear" w:color="auto" w:fill="FFFFFF"/>
        <w:spacing w:line="560" w:lineRule="exact"/>
        <w:ind w:firstLineChars="200" w:firstLine="420"/>
        <w:jc w:val="center"/>
        <w:rPr>
          <w:rFonts w:ascii="Helvetica" w:eastAsia="宋体" w:hAnsi="Helvetica" w:cs="Helvetica" w:hint="eastAsia"/>
          <w:color w:val="333333"/>
          <w:kern w:val="0"/>
          <w:szCs w:val="21"/>
        </w:rPr>
      </w:pPr>
    </w:p>
    <w:p w:rsidR="00A35989" w:rsidRPr="00A35989" w:rsidRDefault="00A35989" w:rsidP="00A35989">
      <w:pPr>
        <w:widowControl/>
        <w:shd w:val="clear" w:color="auto" w:fill="FFFFFF"/>
        <w:spacing w:line="560" w:lineRule="exact"/>
        <w:ind w:firstLineChars="200" w:firstLine="640"/>
        <w:rPr>
          <w:rFonts w:ascii="Helvetica" w:eastAsia="宋体" w:hAnsi="Helvetica" w:cs="Helvetica"/>
          <w:color w:val="333333"/>
          <w:kern w:val="0"/>
          <w:szCs w:val="21"/>
        </w:rPr>
      </w:pPr>
      <w:r w:rsidRPr="00A35989">
        <w:rPr>
          <w:rFonts w:ascii="黑体" w:eastAsia="黑体" w:hAnsi="黑体" w:cs="Helvetica" w:hint="eastAsia"/>
          <w:color w:val="333333"/>
          <w:kern w:val="0"/>
          <w:sz w:val="32"/>
          <w:szCs w:val="32"/>
        </w:rPr>
        <w:t>一、相关政策</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1.《中共山东省委办公厅山东省人民政府办公厅印发&lt;关于深化职称制度改革的实施意见&gt;的通知》（</w:t>
      </w:r>
      <w:proofErr w:type="gramStart"/>
      <w:r w:rsidRPr="00A35989">
        <w:rPr>
          <w:rFonts w:ascii="仿宋_GB2312" w:eastAsia="仿宋_GB2312" w:hAnsi="Helvetica" w:cs="Helvetica" w:hint="eastAsia"/>
          <w:color w:val="333333"/>
          <w:kern w:val="0"/>
          <w:sz w:val="32"/>
          <w:szCs w:val="32"/>
        </w:rPr>
        <w:t>鲁办发</w:t>
      </w:r>
      <w:proofErr w:type="gramEnd"/>
      <w:r w:rsidRPr="00A35989">
        <w:rPr>
          <w:rFonts w:ascii="仿宋_GB2312" w:eastAsia="仿宋_GB2312" w:hAnsi="Helvetica" w:cs="Helvetica" w:hint="eastAsia"/>
          <w:color w:val="333333"/>
          <w:kern w:val="0"/>
          <w:sz w:val="32"/>
          <w:szCs w:val="32"/>
        </w:rPr>
        <w:t>〔2018〕1号）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2.《山东省人民政府关于印发2022年“稳中求进”高质量发展政策清单（第一批）的通知》（鲁政发〔2021〕23号）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3.《山东省人力资源和社会保障厅关于印发山东省职称评审管理服务实施办法的通知》（鲁人社规〔2021〕1号）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4.《中共山东省委组织部山东省人力资源和社会保障厅山东省教育厅山东省科学技术厅山东省财政厅关于印发山东省柔性引进人才办法的通知》（鲁</w:t>
      </w:r>
      <w:proofErr w:type="gramStart"/>
      <w:r w:rsidRPr="00A35989">
        <w:rPr>
          <w:rFonts w:ascii="仿宋_GB2312" w:eastAsia="仿宋_GB2312" w:hAnsi="Helvetica" w:cs="Helvetica" w:hint="eastAsia"/>
          <w:color w:val="333333"/>
          <w:kern w:val="0"/>
          <w:sz w:val="32"/>
          <w:szCs w:val="32"/>
        </w:rPr>
        <w:t>人社发</w:t>
      </w:r>
      <w:proofErr w:type="gramEnd"/>
      <w:r w:rsidRPr="00A35989">
        <w:rPr>
          <w:rFonts w:ascii="仿宋_GB2312" w:eastAsia="仿宋_GB2312" w:hAnsi="Helvetica" w:cs="Helvetica" w:hint="eastAsia"/>
          <w:color w:val="333333"/>
          <w:kern w:val="0"/>
          <w:sz w:val="32"/>
          <w:szCs w:val="32"/>
        </w:rPr>
        <w:t>〔2019〕36号）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5.《山东省人力资源和社会保障厅关于工程技术领域高技能人才与工程技术人才职业贯通发展的实施意见》（鲁</w:t>
      </w:r>
      <w:proofErr w:type="gramStart"/>
      <w:r w:rsidRPr="00A35989">
        <w:rPr>
          <w:rFonts w:ascii="仿宋_GB2312" w:eastAsia="仿宋_GB2312" w:hAnsi="Helvetica" w:cs="Helvetica" w:hint="eastAsia"/>
          <w:color w:val="333333"/>
          <w:kern w:val="0"/>
          <w:sz w:val="32"/>
          <w:szCs w:val="32"/>
        </w:rPr>
        <w:t>人社发</w:t>
      </w:r>
      <w:proofErr w:type="gramEnd"/>
      <w:r w:rsidRPr="00A35989">
        <w:rPr>
          <w:rFonts w:ascii="仿宋_GB2312" w:eastAsia="仿宋_GB2312" w:hAnsi="Helvetica" w:cs="Helvetica" w:hint="eastAsia"/>
          <w:color w:val="333333"/>
          <w:kern w:val="0"/>
          <w:sz w:val="32"/>
          <w:szCs w:val="32"/>
        </w:rPr>
        <w:t>〔2020〕16号）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6.《山东省人力资源和社会保障厅关于进一步做好高技能人才和专业技术人才职业发展贯通工作的通知》（鲁人社字〔2021〕70号）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lastRenderedPageBreak/>
        <w:t>7.《山东省人力资源和社会保障厅关于下放职称服务管理权限和建立高层次人才高级职称评审“直通车”制度的通知》（鲁人社字〔2019〕128号）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8.《中共山东省委组织部山东省人力资源和社会保障厅等8部门关于贯彻落实人社部发〔2019〕137号文件进一步支持鼓励事业单位科研人员创新创业的通知》（鲁人社字〔2020〕28号）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9.《山东省人力资源和社会保障厅等6部门关于加快落实基层职称制度的通知》（鲁人社字〔2020〕42号）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10.《山东省人力资源和社会保障厅关于加强中级职称评审委员会目录清单管理工作的通知》（鲁人社字〔2020〕103号）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11.《山东省人力资源和社会保障厅山东省农业农村厅关于做好新型职业农民职称工作有关问题的通知》（鲁人社字〔2020〕153号）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12.《山东省人力资源和社会保障厅关于建立部分专业技术类职业资格和职称对应关系的通知》（鲁人社办发〔2019〕14号）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13.《山东省人力资源和社会保障厅关于同意青岛等市开展开发区特色专业职称工作的批复》（鲁</w:t>
      </w:r>
      <w:proofErr w:type="gramStart"/>
      <w:r w:rsidRPr="00A35989">
        <w:rPr>
          <w:rFonts w:ascii="仿宋_GB2312" w:eastAsia="仿宋_GB2312" w:hAnsi="Helvetica" w:cs="Helvetica" w:hint="eastAsia"/>
          <w:color w:val="333333"/>
          <w:kern w:val="0"/>
          <w:sz w:val="32"/>
          <w:szCs w:val="32"/>
        </w:rPr>
        <w:t>人社函</w:t>
      </w:r>
      <w:proofErr w:type="gramEnd"/>
      <w:r w:rsidRPr="00A35989">
        <w:rPr>
          <w:rFonts w:ascii="仿宋_GB2312" w:eastAsia="仿宋_GB2312" w:hAnsi="Helvetica" w:cs="Helvetica" w:hint="eastAsia"/>
          <w:color w:val="333333"/>
          <w:kern w:val="0"/>
          <w:sz w:val="32"/>
          <w:szCs w:val="32"/>
        </w:rPr>
        <w:t>〔2020〕57号）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14.《山东省人力资源和社会保障厅关于同意东营威海开展开发区特色专业职称工作的批复》（鲁</w:t>
      </w:r>
      <w:proofErr w:type="gramStart"/>
      <w:r w:rsidRPr="00A35989">
        <w:rPr>
          <w:rFonts w:ascii="仿宋_GB2312" w:eastAsia="仿宋_GB2312" w:hAnsi="Helvetica" w:cs="Helvetica" w:hint="eastAsia"/>
          <w:color w:val="333333"/>
          <w:kern w:val="0"/>
          <w:sz w:val="32"/>
          <w:szCs w:val="32"/>
        </w:rPr>
        <w:t>人社函</w:t>
      </w:r>
      <w:proofErr w:type="gramEnd"/>
      <w:r w:rsidRPr="00A35989">
        <w:rPr>
          <w:rFonts w:ascii="仿宋_GB2312" w:eastAsia="仿宋_GB2312" w:hAnsi="Helvetica" w:cs="Helvetica" w:hint="eastAsia"/>
          <w:color w:val="333333"/>
          <w:kern w:val="0"/>
          <w:sz w:val="32"/>
          <w:szCs w:val="32"/>
        </w:rPr>
        <w:t>〔2020〕73号）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lastRenderedPageBreak/>
        <w:t>15.《山东省人力资源和社会保障厅关于转发人社厅发〔2020〕13号文件做好民营企业职称工作的通知》（鲁</w:t>
      </w:r>
      <w:proofErr w:type="gramStart"/>
      <w:r w:rsidRPr="00A35989">
        <w:rPr>
          <w:rFonts w:ascii="仿宋_GB2312" w:eastAsia="仿宋_GB2312" w:hAnsi="Helvetica" w:cs="Helvetica" w:hint="eastAsia"/>
          <w:color w:val="333333"/>
          <w:kern w:val="0"/>
          <w:sz w:val="32"/>
          <w:szCs w:val="32"/>
        </w:rPr>
        <w:t>人社函</w:t>
      </w:r>
      <w:proofErr w:type="gramEnd"/>
      <w:r w:rsidRPr="00A35989">
        <w:rPr>
          <w:rFonts w:ascii="仿宋_GB2312" w:eastAsia="仿宋_GB2312" w:hAnsi="Helvetica" w:cs="Helvetica" w:hint="eastAsia"/>
          <w:color w:val="333333"/>
          <w:kern w:val="0"/>
          <w:sz w:val="32"/>
          <w:szCs w:val="32"/>
        </w:rPr>
        <w:t>〔2020〕72号）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16.《山东省人力资源和社会保障厅山东省教育厅关于印发山东省高校教师职称自主评聘管理办法的通知》（鲁</w:t>
      </w:r>
      <w:proofErr w:type="gramStart"/>
      <w:r w:rsidRPr="00A35989">
        <w:rPr>
          <w:rFonts w:ascii="仿宋_GB2312" w:eastAsia="仿宋_GB2312" w:hAnsi="Helvetica" w:cs="Helvetica" w:hint="eastAsia"/>
          <w:color w:val="333333"/>
          <w:kern w:val="0"/>
          <w:sz w:val="32"/>
          <w:szCs w:val="32"/>
        </w:rPr>
        <w:t>人社发</w:t>
      </w:r>
      <w:proofErr w:type="gramEnd"/>
      <w:r w:rsidRPr="00A35989">
        <w:rPr>
          <w:rFonts w:ascii="仿宋_GB2312" w:eastAsia="仿宋_GB2312" w:hAnsi="Helvetica" w:cs="Helvetica" w:hint="eastAsia"/>
          <w:color w:val="333333"/>
          <w:kern w:val="0"/>
          <w:sz w:val="32"/>
          <w:szCs w:val="32"/>
        </w:rPr>
        <w:t>〔2021〕17号）</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黑体" w:eastAsia="黑体" w:hAnsi="黑体" w:cs="Helvetica" w:hint="eastAsia"/>
          <w:color w:val="333333"/>
          <w:kern w:val="0"/>
          <w:sz w:val="32"/>
          <w:szCs w:val="32"/>
        </w:rPr>
        <w:t>二、关键内容摘编</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1.非企事业单位（</w:t>
      </w:r>
      <w:proofErr w:type="gramStart"/>
      <w:r w:rsidRPr="00A35989">
        <w:rPr>
          <w:rFonts w:ascii="仿宋_GB2312" w:eastAsia="仿宋_GB2312" w:hAnsi="Helvetica" w:cs="Helvetica" w:hint="eastAsia"/>
          <w:color w:val="333333"/>
          <w:kern w:val="0"/>
          <w:sz w:val="32"/>
          <w:szCs w:val="32"/>
        </w:rPr>
        <w:t>含参公管理</w:t>
      </w:r>
      <w:proofErr w:type="gramEnd"/>
      <w:r w:rsidRPr="00A35989">
        <w:rPr>
          <w:rFonts w:ascii="仿宋_GB2312" w:eastAsia="仿宋_GB2312" w:hAnsi="Helvetica" w:cs="Helvetica" w:hint="eastAsia"/>
          <w:color w:val="333333"/>
          <w:kern w:val="0"/>
          <w:sz w:val="32"/>
          <w:szCs w:val="32"/>
        </w:rPr>
        <w:t>单位）的人员交流聘用到企事业单位专业技术岗位上工作，在现工作岗位从事专业技术工作一年以上，经考核符合相应职称条件的，可申报评审相应的职称。</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2.乡镇专业技术人才，可按照《山东省人力资源和社会保障厅关于印发推进乡村人才振兴若干措施的通知》（鲁</w:t>
      </w:r>
      <w:proofErr w:type="gramStart"/>
      <w:r w:rsidRPr="00A35989">
        <w:rPr>
          <w:rFonts w:ascii="仿宋_GB2312" w:eastAsia="仿宋_GB2312" w:hAnsi="Helvetica" w:cs="Helvetica" w:hint="eastAsia"/>
          <w:color w:val="333333"/>
          <w:kern w:val="0"/>
          <w:sz w:val="32"/>
          <w:szCs w:val="32"/>
        </w:rPr>
        <w:t>人社发</w:t>
      </w:r>
      <w:proofErr w:type="gramEnd"/>
      <w:r w:rsidRPr="00A35989">
        <w:rPr>
          <w:rFonts w:ascii="仿宋_GB2312" w:eastAsia="仿宋_GB2312" w:hAnsi="Helvetica" w:cs="Helvetica" w:hint="eastAsia"/>
          <w:color w:val="333333"/>
          <w:kern w:val="0"/>
          <w:sz w:val="32"/>
          <w:szCs w:val="32"/>
        </w:rPr>
        <w:t>〔2018〕40号）和《山东省人力资源和社会保障厅关于乡镇专业技术人员职称评聘有关问题的通知》（鲁</w:t>
      </w:r>
      <w:proofErr w:type="gramStart"/>
      <w:r w:rsidRPr="00A35989">
        <w:rPr>
          <w:rFonts w:ascii="仿宋_GB2312" w:eastAsia="仿宋_GB2312" w:hAnsi="Helvetica" w:cs="Helvetica" w:hint="eastAsia"/>
          <w:color w:val="333333"/>
          <w:kern w:val="0"/>
          <w:sz w:val="32"/>
          <w:szCs w:val="32"/>
        </w:rPr>
        <w:t>人社函</w:t>
      </w:r>
      <w:proofErr w:type="gramEnd"/>
      <w:r w:rsidRPr="00A35989">
        <w:rPr>
          <w:rFonts w:ascii="仿宋_GB2312" w:eastAsia="仿宋_GB2312" w:hAnsi="Helvetica" w:cs="Helvetica" w:hint="eastAsia"/>
          <w:color w:val="333333"/>
          <w:kern w:val="0"/>
          <w:sz w:val="32"/>
          <w:szCs w:val="32"/>
        </w:rPr>
        <w:t>〔2019〕17号）规定享受直评等政策。</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3.事业单位专业技术人员申报评审职称，由各设区的市和省直部门按照事业单位管理有关规定，结合本地区本部门实际，做出具体要求。经批准兼职或离岗创新创业的专业技术人才申报职称，按照《中共山东省委组织部山东省人力资源和社会保障厅等8部门关于贯彻落实人社部发〔2019〕137号文件进一步支持鼓励事业单位科研人员创新创业的通知》（鲁人社字〔2020〕28号）有关规定执行。</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lastRenderedPageBreak/>
        <w:t>4.鼓励发展复合型人才。已取得一个系列（专业）职称并聘用在相应岗位上的专业技术人员，经所在单位批准，可结合从事工作再申报评审或报考其他系列（专业）同级别的职称，不受所在单位岗位限制。</w:t>
      </w:r>
    </w:p>
    <w:p w:rsidR="00A35989" w:rsidRPr="00A35989" w:rsidRDefault="00A35989" w:rsidP="00A35989">
      <w:pPr>
        <w:widowControl/>
        <w:shd w:val="clear" w:color="auto" w:fill="FFFFFF"/>
        <w:spacing w:line="560" w:lineRule="exact"/>
        <w:ind w:firstLineChars="200" w:firstLine="640"/>
        <w:jc w:val="left"/>
        <w:rPr>
          <w:rFonts w:ascii="Helvetica" w:eastAsia="宋体" w:hAnsi="Helvetica" w:cs="Helvetica"/>
          <w:color w:val="333333"/>
          <w:kern w:val="0"/>
          <w:szCs w:val="21"/>
        </w:rPr>
      </w:pPr>
      <w:r w:rsidRPr="00A35989">
        <w:rPr>
          <w:rFonts w:ascii="仿宋_GB2312" w:eastAsia="仿宋_GB2312" w:hAnsi="Helvetica" w:cs="Helvetica" w:hint="eastAsia"/>
          <w:color w:val="333333"/>
          <w:kern w:val="0"/>
          <w:sz w:val="32"/>
          <w:szCs w:val="32"/>
        </w:rPr>
        <w:t>5.专业技术人才因工作岗位变动，新旧岗位所对应的职称不属于同一系列（专业），可以申报改系列（专业）职称评审。改系列（专业）职称申报，应当在</w:t>
      </w:r>
      <w:proofErr w:type="gramStart"/>
      <w:r w:rsidRPr="00A35989">
        <w:rPr>
          <w:rFonts w:ascii="仿宋_GB2312" w:eastAsia="仿宋_GB2312" w:hAnsi="Helvetica" w:cs="Helvetica" w:hint="eastAsia"/>
          <w:color w:val="333333"/>
          <w:kern w:val="0"/>
          <w:sz w:val="32"/>
          <w:szCs w:val="32"/>
        </w:rPr>
        <w:t>现专业</w:t>
      </w:r>
      <w:proofErr w:type="gramEnd"/>
      <w:r w:rsidRPr="00A35989">
        <w:rPr>
          <w:rFonts w:ascii="仿宋_GB2312" w:eastAsia="仿宋_GB2312" w:hAnsi="Helvetica" w:cs="Helvetica" w:hint="eastAsia"/>
          <w:color w:val="333333"/>
          <w:kern w:val="0"/>
          <w:sz w:val="32"/>
          <w:szCs w:val="32"/>
        </w:rPr>
        <w:t>技术岗位工作一年以上，经单位考核合格并符合申报系列（专业）的职称标准条件。申报的职称应当与原取得的职称同层级，申报的系列（专业）应当与</w:t>
      </w:r>
      <w:proofErr w:type="gramStart"/>
      <w:r w:rsidRPr="00A35989">
        <w:rPr>
          <w:rFonts w:ascii="仿宋_GB2312" w:eastAsia="仿宋_GB2312" w:hAnsi="Helvetica" w:cs="Helvetica" w:hint="eastAsia"/>
          <w:color w:val="333333"/>
          <w:kern w:val="0"/>
          <w:sz w:val="32"/>
          <w:szCs w:val="32"/>
        </w:rPr>
        <w:t>现专业</w:t>
      </w:r>
      <w:proofErr w:type="gramEnd"/>
      <w:r w:rsidRPr="00A35989">
        <w:rPr>
          <w:rFonts w:ascii="仿宋_GB2312" w:eastAsia="仿宋_GB2312" w:hAnsi="Helvetica" w:cs="Helvetica" w:hint="eastAsia"/>
          <w:color w:val="333333"/>
          <w:kern w:val="0"/>
          <w:sz w:val="32"/>
          <w:szCs w:val="32"/>
        </w:rPr>
        <w:t>技术岗位相一致，当年度不得申报高一级职称。</w:t>
      </w:r>
      <w:proofErr w:type="gramStart"/>
      <w:r w:rsidRPr="00A35989">
        <w:rPr>
          <w:rFonts w:ascii="仿宋_GB2312" w:eastAsia="仿宋_GB2312" w:hAnsi="Helvetica" w:cs="Helvetica" w:hint="eastAsia"/>
          <w:color w:val="333333"/>
          <w:kern w:val="0"/>
          <w:sz w:val="32"/>
          <w:szCs w:val="32"/>
        </w:rPr>
        <w:t>改系列</w:t>
      </w:r>
      <w:proofErr w:type="gramEnd"/>
      <w:r w:rsidRPr="00A35989">
        <w:rPr>
          <w:rFonts w:ascii="仿宋_GB2312" w:eastAsia="仿宋_GB2312" w:hAnsi="Helvetica" w:cs="Helvetica" w:hint="eastAsia"/>
          <w:color w:val="333333"/>
          <w:kern w:val="0"/>
          <w:sz w:val="32"/>
          <w:szCs w:val="32"/>
        </w:rPr>
        <w:t>前后从事专业技术工作的年限可以累计计算，相关的业绩成果可以作为申报高一级职称的依据。</w:t>
      </w:r>
    </w:p>
    <w:p w:rsidR="00C97162" w:rsidRPr="00A35989" w:rsidRDefault="00C97162" w:rsidP="00A35989">
      <w:pPr>
        <w:pStyle w:val="a5"/>
        <w:shd w:val="clear" w:color="auto" w:fill="FFFFFF"/>
        <w:spacing w:before="0" w:beforeAutospacing="0" w:after="0" w:afterAutospacing="0" w:line="560" w:lineRule="exact"/>
        <w:ind w:firstLineChars="200" w:firstLine="480"/>
      </w:pPr>
    </w:p>
    <w:sectPr w:rsidR="00C97162" w:rsidRPr="00A35989" w:rsidSect="00C85A10">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A8" w:rsidRDefault="00C357A8" w:rsidP="00C85A10">
      <w:r>
        <w:separator/>
      </w:r>
    </w:p>
  </w:endnote>
  <w:endnote w:type="continuationSeparator" w:id="0">
    <w:p w:rsidR="00C357A8" w:rsidRDefault="00C357A8" w:rsidP="00C8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A8" w:rsidRDefault="00C357A8" w:rsidP="00C85A10">
      <w:r>
        <w:separator/>
      </w:r>
    </w:p>
  </w:footnote>
  <w:footnote w:type="continuationSeparator" w:id="0">
    <w:p w:rsidR="00C357A8" w:rsidRDefault="00C357A8" w:rsidP="00C85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EB"/>
    <w:rsid w:val="00002FBC"/>
    <w:rsid w:val="0001296A"/>
    <w:rsid w:val="000138E2"/>
    <w:rsid w:val="00014C44"/>
    <w:rsid w:val="00023B4D"/>
    <w:rsid w:val="00032D6C"/>
    <w:rsid w:val="00034408"/>
    <w:rsid w:val="000412FB"/>
    <w:rsid w:val="00046D5C"/>
    <w:rsid w:val="00055942"/>
    <w:rsid w:val="00057701"/>
    <w:rsid w:val="00070310"/>
    <w:rsid w:val="00071B43"/>
    <w:rsid w:val="0008120B"/>
    <w:rsid w:val="000A1676"/>
    <w:rsid w:val="000A745C"/>
    <w:rsid w:val="000A78D3"/>
    <w:rsid w:val="000B14D8"/>
    <w:rsid w:val="000B249B"/>
    <w:rsid w:val="000D1FAA"/>
    <w:rsid w:val="000D3F3A"/>
    <w:rsid w:val="000E37E8"/>
    <w:rsid w:val="000E44B9"/>
    <w:rsid w:val="000E4898"/>
    <w:rsid w:val="000F729B"/>
    <w:rsid w:val="00103282"/>
    <w:rsid w:val="00103A51"/>
    <w:rsid w:val="00103F8D"/>
    <w:rsid w:val="00107364"/>
    <w:rsid w:val="001135FF"/>
    <w:rsid w:val="0011539A"/>
    <w:rsid w:val="001156F3"/>
    <w:rsid w:val="00117A9E"/>
    <w:rsid w:val="00120D83"/>
    <w:rsid w:val="00124034"/>
    <w:rsid w:val="00135579"/>
    <w:rsid w:val="00137D89"/>
    <w:rsid w:val="001515A4"/>
    <w:rsid w:val="00152A55"/>
    <w:rsid w:val="00154A27"/>
    <w:rsid w:val="00155CDA"/>
    <w:rsid w:val="00156E1D"/>
    <w:rsid w:val="00157CAD"/>
    <w:rsid w:val="00163456"/>
    <w:rsid w:val="00166807"/>
    <w:rsid w:val="0016688E"/>
    <w:rsid w:val="001930A2"/>
    <w:rsid w:val="00196A3F"/>
    <w:rsid w:val="001A3BF4"/>
    <w:rsid w:val="001B0B25"/>
    <w:rsid w:val="001B70FC"/>
    <w:rsid w:val="001D126D"/>
    <w:rsid w:val="001D3C13"/>
    <w:rsid w:val="00201EA2"/>
    <w:rsid w:val="00204EA8"/>
    <w:rsid w:val="00205104"/>
    <w:rsid w:val="00215674"/>
    <w:rsid w:val="00225F87"/>
    <w:rsid w:val="00227D4E"/>
    <w:rsid w:val="002301F2"/>
    <w:rsid w:val="00235478"/>
    <w:rsid w:val="002426C2"/>
    <w:rsid w:val="00250D5C"/>
    <w:rsid w:val="00256B3A"/>
    <w:rsid w:val="002608E3"/>
    <w:rsid w:val="00262CA1"/>
    <w:rsid w:val="00276C77"/>
    <w:rsid w:val="00296445"/>
    <w:rsid w:val="00297DDE"/>
    <w:rsid w:val="002B19F3"/>
    <w:rsid w:val="002B464A"/>
    <w:rsid w:val="002B5EED"/>
    <w:rsid w:val="002B6C4C"/>
    <w:rsid w:val="002C2836"/>
    <w:rsid w:val="002C7589"/>
    <w:rsid w:val="002D1264"/>
    <w:rsid w:val="002D4083"/>
    <w:rsid w:val="002D7609"/>
    <w:rsid w:val="002E1218"/>
    <w:rsid w:val="002E7A45"/>
    <w:rsid w:val="00302B20"/>
    <w:rsid w:val="00302B6A"/>
    <w:rsid w:val="00303A7D"/>
    <w:rsid w:val="00317931"/>
    <w:rsid w:val="00323162"/>
    <w:rsid w:val="0033503B"/>
    <w:rsid w:val="003374E5"/>
    <w:rsid w:val="00343634"/>
    <w:rsid w:val="003533A0"/>
    <w:rsid w:val="00355CF7"/>
    <w:rsid w:val="00357DD8"/>
    <w:rsid w:val="00362430"/>
    <w:rsid w:val="00363F08"/>
    <w:rsid w:val="0037518B"/>
    <w:rsid w:val="003841A7"/>
    <w:rsid w:val="00391EAC"/>
    <w:rsid w:val="00392CB8"/>
    <w:rsid w:val="003A5975"/>
    <w:rsid w:val="003A7DAF"/>
    <w:rsid w:val="003B3CF5"/>
    <w:rsid w:val="003E1956"/>
    <w:rsid w:val="003F42EB"/>
    <w:rsid w:val="003F6382"/>
    <w:rsid w:val="003F7CFB"/>
    <w:rsid w:val="00403B4B"/>
    <w:rsid w:val="00416D7A"/>
    <w:rsid w:val="00433F15"/>
    <w:rsid w:val="004446A4"/>
    <w:rsid w:val="00474EA7"/>
    <w:rsid w:val="00482EB3"/>
    <w:rsid w:val="0048399C"/>
    <w:rsid w:val="004958C7"/>
    <w:rsid w:val="004A1953"/>
    <w:rsid w:val="004A2485"/>
    <w:rsid w:val="004A5E6F"/>
    <w:rsid w:val="004B762D"/>
    <w:rsid w:val="004C0ACA"/>
    <w:rsid w:val="004C4735"/>
    <w:rsid w:val="004D5E80"/>
    <w:rsid w:val="004E16BD"/>
    <w:rsid w:val="004F092A"/>
    <w:rsid w:val="004F426D"/>
    <w:rsid w:val="004F638E"/>
    <w:rsid w:val="00502007"/>
    <w:rsid w:val="00504C0A"/>
    <w:rsid w:val="00513ACF"/>
    <w:rsid w:val="00515A6C"/>
    <w:rsid w:val="0052136B"/>
    <w:rsid w:val="00523F86"/>
    <w:rsid w:val="00525AC1"/>
    <w:rsid w:val="00535D6C"/>
    <w:rsid w:val="00547163"/>
    <w:rsid w:val="00550791"/>
    <w:rsid w:val="005532AA"/>
    <w:rsid w:val="00553CD6"/>
    <w:rsid w:val="00554506"/>
    <w:rsid w:val="005549AF"/>
    <w:rsid w:val="00557E4F"/>
    <w:rsid w:val="00562EA2"/>
    <w:rsid w:val="005659F4"/>
    <w:rsid w:val="00567FB0"/>
    <w:rsid w:val="00573186"/>
    <w:rsid w:val="00573DE1"/>
    <w:rsid w:val="00582F0C"/>
    <w:rsid w:val="00585482"/>
    <w:rsid w:val="00591808"/>
    <w:rsid w:val="00594066"/>
    <w:rsid w:val="005A31D9"/>
    <w:rsid w:val="005A4D9A"/>
    <w:rsid w:val="005A6964"/>
    <w:rsid w:val="005A6BC5"/>
    <w:rsid w:val="005B15F8"/>
    <w:rsid w:val="005B22C4"/>
    <w:rsid w:val="005B2906"/>
    <w:rsid w:val="005C1263"/>
    <w:rsid w:val="005C5E45"/>
    <w:rsid w:val="005D06DF"/>
    <w:rsid w:val="005E164E"/>
    <w:rsid w:val="005F3589"/>
    <w:rsid w:val="005F57AC"/>
    <w:rsid w:val="005F6320"/>
    <w:rsid w:val="006039C4"/>
    <w:rsid w:val="00611B05"/>
    <w:rsid w:val="006205D7"/>
    <w:rsid w:val="006232B7"/>
    <w:rsid w:val="006258EE"/>
    <w:rsid w:val="006259FF"/>
    <w:rsid w:val="006331CF"/>
    <w:rsid w:val="00635F47"/>
    <w:rsid w:val="00641E92"/>
    <w:rsid w:val="0064417A"/>
    <w:rsid w:val="00645D8A"/>
    <w:rsid w:val="00651454"/>
    <w:rsid w:val="006653CF"/>
    <w:rsid w:val="006717BF"/>
    <w:rsid w:val="0067202E"/>
    <w:rsid w:val="00672712"/>
    <w:rsid w:val="00675EDF"/>
    <w:rsid w:val="006760AC"/>
    <w:rsid w:val="006761FB"/>
    <w:rsid w:val="00695417"/>
    <w:rsid w:val="006A0DC5"/>
    <w:rsid w:val="006A2DE9"/>
    <w:rsid w:val="006B1A2E"/>
    <w:rsid w:val="006B66C5"/>
    <w:rsid w:val="006B6D48"/>
    <w:rsid w:val="006C3B86"/>
    <w:rsid w:val="006C56E1"/>
    <w:rsid w:val="006D0140"/>
    <w:rsid w:val="006E08A6"/>
    <w:rsid w:val="006E196E"/>
    <w:rsid w:val="006E2BAA"/>
    <w:rsid w:val="006E68B3"/>
    <w:rsid w:val="006E710E"/>
    <w:rsid w:val="006E7517"/>
    <w:rsid w:val="006F7DDD"/>
    <w:rsid w:val="00701120"/>
    <w:rsid w:val="0070282F"/>
    <w:rsid w:val="00704E51"/>
    <w:rsid w:val="00705F2C"/>
    <w:rsid w:val="007076EC"/>
    <w:rsid w:val="00712B5B"/>
    <w:rsid w:val="00715A00"/>
    <w:rsid w:val="00717340"/>
    <w:rsid w:val="007217E7"/>
    <w:rsid w:val="00734C17"/>
    <w:rsid w:val="00734DB3"/>
    <w:rsid w:val="007411A2"/>
    <w:rsid w:val="007420FF"/>
    <w:rsid w:val="00743EEA"/>
    <w:rsid w:val="00746703"/>
    <w:rsid w:val="007541E4"/>
    <w:rsid w:val="00757387"/>
    <w:rsid w:val="00761926"/>
    <w:rsid w:val="007635D4"/>
    <w:rsid w:val="007660FD"/>
    <w:rsid w:val="00780A51"/>
    <w:rsid w:val="00780FD0"/>
    <w:rsid w:val="007819D3"/>
    <w:rsid w:val="00782EC2"/>
    <w:rsid w:val="007927E0"/>
    <w:rsid w:val="007958FA"/>
    <w:rsid w:val="007A2686"/>
    <w:rsid w:val="007A6866"/>
    <w:rsid w:val="007B56AB"/>
    <w:rsid w:val="007B6A76"/>
    <w:rsid w:val="007C120E"/>
    <w:rsid w:val="007D16CF"/>
    <w:rsid w:val="007D3120"/>
    <w:rsid w:val="007D7699"/>
    <w:rsid w:val="007E0BCC"/>
    <w:rsid w:val="007E506F"/>
    <w:rsid w:val="007F3110"/>
    <w:rsid w:val="007F632B"/>
    <w:rsid w:val="007F78A9"/>
    <w:rsid w:val="00803F8F"/>
    <w:rsid w:val="00811D03"/>
    <w:rsid w:val="00827BA9"/>
    <w:rsid w:val="00832434"/>
    <w:rsid w:val="00835417"/>
    <w:rsid w:val="00837D90"/>
    <w:rsid w:val="008416D3"/>
    <w:rsid w:val="008500AA"/>
    <w:rsid w:val="00852D7A"/>
    <w:rsid w:val="008536AC"/>
    <w:rsid w:val="00865690"/>
    <w:rsid w:val="00867A37"/>
    <w:rsid w:val="00872ED3"/>
    <w:rsid w:val="00875431"/>
    <w:rsid w:val="0087572E"/>
    <w:rsid w:val="008762F6"/>
    <w:rsid w:val="00885DF9"/>
    <w:rsid w:val="00896230"/>
    <w:rsid w:val="008B7823"/>
    <w:rsid w:val="008E1F32"/>
    <w:rsid w:val="008E449F"/>
    <w:rsid w:val="008E68E1"/>
    <w:rsid w:val="008F24D8"/>
    <w:rsid w:val="008F79E5"/>
    <w:rsid w:val="00900AC4"/>
    <w:rsid w:val="0090408E"/>
    <w:rsid w:val="0090445C"/>
    <w:rsid w:val="00906CB7"/>
    <w:rsid w:val="00915141"/>
    <w:rsid w:val="00917A3D"/>
    <w:rsid w:val="009238A1"/>
    <w:rsid w:val="009265A8"/>
    <w:rsid w:val="00927B25"/>
    <w:rsid w:val="009302F0"/>
    <w:rsid w:val="0093109B"/>
    <w:rsid w:val="009355EB"/>
    <w:rsid w:val="009449D4"/>
    <w:rsid w:val="00965CF2"/>
    <w:rsid w:val="00975815"/>
    <w:rsid w:val="0097680C"/>
    <w:rsid w:val="009770BC"/>
    <w:rsid w:val="009834D9"/>
    <w:rsid w:val="009841DC"/>
    <w:rsid w:val="0098660F"/>
    <w:rsid w:val="009935A7"/>
    <w:rsid w:val="009974CF"/>
    <w:rsid w:val="00997CAD"/>
    <w:rsid w:val="009A29EF"/>
    <w:rsid w:val="009A3AA8"/>
    <w:rsid w:val="009C1A5F"/>
    <w:rsid w:val="009C2DD5"/>
    <w:rsid w:val="009C7D88"/>
    <w:rsid w:val="009D05D5"/>
    <w:rsid w:val="009E1AC1"/>
    <w:rsid w:val="009F2437"/>
    <w:rsid w:val="009F3241"/>
    <w:rsid w:val="009F3EFE"/>
    <w:rsid w:val="00A11AE5"/>
    <w:rsid w:val="00A11FEB"/>
    <w:rsid w:val="00A1332D"/>
    <w:rsid w:val="00A1351C"/>
    <w:rsid w:val="00A135D3"/>
    <w:rsid w:val="00A17998"/>
    <w:rsid w:val="00A2786E"/>
    <w:rsid w:val="00A27993"/>
    <w:rsid w:val="00A33761"/>
    <w:rsid w:val="00A35989"/>
    <w:rsid w:val="00A53C90"/>
    <w:rsid w:val="00A665B3"/>
    <w:rsid w:val="00A67260"/>
    <w:rsid w:val="00A744D5"/>
    <w:rsid w:val="00A832D9"/>
    <w:rsid w:val="00A850DB"/>
    <w:rsid w:val="00A857F7"/>
    <w:rsid w:val="00A87278"/>
    <w:rsid w:val="00A876EF"/>
    <w:rsid w:val="00A924E0"/>
    <w:rsid w:val="00A952D2"/>
    <w:rsid w:val="00AA0ED1"/>
    <w:rsid w:val="00AA50B8"/>
    <w:rsid w:val="00AA583D"/>
    <w:rsid w:val="00AB393C"/>
    <w:rsid w:val="00AB40F7"/>
    <w:rsid w:val="00AB4C7E"/>
    <w:rsid w:val="00AB4EA6"/>
    <w:rsid w:val="00AC125A"/>
    <w:rsid w:val="00AC3999"/>
    <w:rsid w:val="00AC478F"/>
    <w:rsid w:val="00AD0FE8"/>
    <w:rsid w:val="00AE6C4F"/>
    <w:rsid w:val="00AE753C"/>
    <w:rsid w:val="00AF2406"/>
    <w:rsid w:val="00B05767"/>
    <w:rsid w:val="00B0596F"/>
    <w:rsid w:val="00B10792"/>
    <w:rsid w:val="00B13F09"/>
    <w:rsid w:val="00B16A45"/>
    <w:rsid w:val="00B1706F"/>
    <w:rsid w:val="00B20BCA"/>
    <w:rsid w:val="00B32E7A"/>
    <w:rsid w:val="00B4166E"/>
    <w:rsid w:val="00B44861"/>
    <w:rsid w:val="00B45125"/>
    <w:rsid w:val="00B47F73"/>
    <w:rsid w:val="00B51BF1"/>
    <w:rsid w:val="00B53AC9"/>
    <w:rsid w:val="00B6120A"/>
    <w:rsid w:val="00B64DE7"/>
    <w:rsid w:val="00B66039"/>
    <w:rsid w:val="00B70E10"/>
    <w:rsid w:val="00B71868"/>
    <w:rsid w:val="00B72A97"/>
    <w:rsid w:val="00B75024"/>
    <w:rsid w:val="00B80FAA"/>
    <w:rsid w:val="00B82411"/>
    <w:rsid w:val="00B826D1"/>
    <w:rsid w:val="00B85131"/>
    <w:rsid w:val="00B8589A"/>
    <w:rsid w:val="00BA0F51"/>
    <w:rsid w:val="00BC16AA"/>
    <w:rsid w:val="00BC21D8"/>
    <w:rsid w:val="00BC2A4D"/>
    <w:rsid w:val="00BC428D"/>
    <w:rsid w:val="00BE4D89"/>
    <w:rsid w:val="00BF17D7"/>
    <w:rsid w:val="00BF3F39"/>
    <w:rsid w:val="00C15454"/>
    <w:rsid w:val="00C17EDD"/>
    <w:rsid w:val="00C357A8"/>
    <w:rsid w:val="00C3756A"/>
    <w:rsid w:val="00C51110"/>
    <w:rsid w:val="00C60C80"/>
    <w:rsid w:val="00C6762B"/>
    <w:rsid w:val="00C70663"/>
    <w:rsid w:val="00C77897"/>
    <w:rsid w:val="00C82FBB"/>
    <w:rsid w:val="00C85A10"/>
    <w:rsid w:val="00C902E4"/>
    <w:rsid w:val="00C95F43"/>
    <w:rsid w:val="00C97162"/>
    <w:rsid w:val="00CB7BC6"/>
    <w:rsid w:val="00CD3AF3"/>
    <w:rsid w:val="00CE3A98"/>
    <w:rsid w:val="00CE6906"/>
    <w:rsid w:val="00CF6EA9"/>
    <w:rsid w:val="00D018D9"/>
    <w:rsid w:val="00D023A4"/>
    <w:rsid w:val="00D05DDD"/>
    <w:rsid w:val="00D15335"/>
    <w:rsid w:val="00D250CE"/>
    <w:rsid w:val="00D318CD"/>
    <w:rsid w:val="00D32CEF"/>
    <w:rsid w:val="00D370AA"/>
    <w:rsid w:val="00D46444"/>
    <w:rsid w:val="00D464ED"/>
    <w:rsid w:val="00D46B76"/>
    <w:rsid w:val="00D51545"/>
    <w:rsid w:val="00D51C0D"/>
    <w:rsid w:val="00D529F7"/>
    <w:rsid w:val="00D65541"/>
    <w:rsid w:val="00D859B1"/>
    <w:rsid w:val="00D92A03"/>
    <w:rsid w:val="00D92ABA"/>
    <w:rsid w:val="00D93312"/>
    <w:rsid w:val="00D95DC4"/>
    <w:rsid w:val="00D96896"/>
    <w:rsid w:val="00DC1BA6"/>
    <w:rsid w:val="00DC3E7F"/>
    <w:rsid w:val="00DC5099"/>
    <w:rsid w:val="00DD4DD5"/>
    <w:rsid w:val="00DD56F5"/>
    <w:rsid w:val="00DD6135"/>
    <w:rsid w:val="00DD6CAF"/>
    <w:rsid w:val="00DD6D1B"/>
    <w:rsid w:val="00DF0BF4"/>
    <w:rsid w:val="00DF3B51"/>
    <w:rsid w:val="00DF656B"/>
    <w:rsid w:val="00E0265F"/>
    <w:rsid w:val="00E06201"/>
    <w:rsid w:val="00E16D29"/>
    <w:rsid w:val="00E21178"/>
    <w:rsid w:val="00E2582B"/>
    <w:rsid w:val="00E273A3"/>
    <w:rsid w:val="00E33792"/>
    <w:rsid w:val="00E7025A"/>
    <w:rsid w:val="00E76935"/>
    <w:rsid w:val="00E80504"/>
    <w:rsid w:val="00E80A34"/>
    <w:rsid w:val="00E84878"/>
    <w:rsid w:val="00E87BBD"/>
    <w:rsid w:val="00E9259B"/>
    <w:rsid w:val="00E9778A"/>
    <w:rsid w:val="00EA39AA"/>
    <w:rsid w:val="00EB3C9E"/>
    <w:rsid w:val="00EB567D"/>
    <w:rsid w:val="00EB6945"/>
    <w:rsid w:val="00EB7F05"/>
    <w:rsid w:val="00EC047F"/>
    <w:rsid w:val="00EC7AAC"/>
    <w:rsid w:val="00ED3E40"/>
    <w:rsid w:val="00ED3EB2"/>
    <w:rsid w:val="00ED4420"/>
    <w:rsid w:val="00ED7F6A"/>
    <w:rsid w:val="00EE00F3"/>
    <w:rsid w:val="00EE3865"/>
    <w:rsid w:val="00EE783B"/>
    <w:rsid w:val="00F01F40"/>
    <w:rsid w:val="00F05666"/>
    <w:rsid w:val="00F16EE1"/>
    <w:rsid w:val="00F206F8"/>
    <w:rsid w:val="00F224C2"/>
    <w:rsid w:val="00F35E6C"/>
    <w:rsid w:val="00F459C9"/>
    <w:rsid w:val="00F4708A"/>
    <w:rsid w:val="00F509B9"/>
    <w:rsid w:val="00F5777C"/>
    <w:rsid w:val="00F6183C"/>
    <w:rsid w:val="00F63D2E"/>
    <w:rsid w:val="00F745B7"/>
    <w:rsid w:val="00F77BF9"/>
    <w:rsid w:val="00F83554"/>
    <w:rsid w:val="00F90A60"/>
    <w:rsid w:val="00F937F0"/>
    <w:rsid w:val="00F956C4"/>
    <w:rsid w:val="00F964F4"/>
    <w:rsid w:val="00F97000"/>
    <w:rsid w:val="00FA0B7B"/>
    <w:rsid w:val="00FA0C43"/>
    <w:rsid w:val="00FA2BDE"/>
    <w:rsid w:val="00FA4350"/>
    <w:rsid w:val="00FA671C"/>
    <w:rsid w:val="00FA7D1C"/>
    <w:rsid w:val="00FB06F1"/>
    <w:rsid w:val="00FB4363"/>
    <w:rsid w:val="00FC2185"/>
    <w:rsid w:val="00FD4BFB"/>
    <w:rsid w:val="00FD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5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5A10"/>
    <w:rPr>
      <w:sz w:val="18"/>
      <w:szCs w:val="18"/>
    </w:rPr>
  </w:style>
  <w:style w:type="paragraph" w:styleId="a4">
    <w:name w:val="footer"/>
    <w:basedOn w:val="a"/>
    <w:link w:val="Char0"/>
    <w:uiPriority w:val="99"/>
    <w:unhideWhenUsed/>
    <w:rsid w:val="00C85A10"/>
    <w:pPr>
      <w:tabs>
        <w:tab w:val="center" w:pos="4153"/>
        <w:tab w:val="right" w:pos="8306"/>
      </w:tabs>
      <w:snapToGrid w:val="0"/>
      <w:jc w:val="left"/>
    </w:pPr>
    <w:rPr>
      <w:sz w:val="18"/>
      <w:szCs w:val="18"/>
    </w:rPr>
  </w:style>
  <w:style w:type="character" w:customStyle="1" w:styleId="Char0">
    <w:name w:val="页脚 Char"/>
    <w:basedOn w:val="a0"/>
    <w:link w:val="a4"/>
    <w:uiPriority w:val="99"/>
    <w:rsid w:val="00C85A10"/>
    <w:rPr>
      <w:sz w:val="18"/>
      <w:szCs w:val="18"/>
    </w:rPr>
  </w:style>
  <w:style w:type="paragraph" w:styleId="a5">
    <w:name w:val="Normal (Web)"/>
    <w:basedOn w:val="a"/>
    <w:uiPriority w:val="99"/>
    <w:unhideWhenUsed/>
    <w:rsid w:val="00C85A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85A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5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5A10"/>
    <w:rPr>
      <w:sz w:val="18"/>
      <w:szCs w:val="18"/>
    </w:rPr>
  </w:style>
  <w:style w:type="paragraph" w:styleId="a4">
    <w:name w:val="footer"/>
    <w:basedOn w:val="a"/>
    <w:link w:val="Char0"/>
    <w:uiPriority w:val="99"/>
    <w:unhideWhenUsed/>
    <w:rsid w:val="00C85A10"/>
    <w:pPr>
      <w:tabs>
        <w:tab w:val="center" w:pos="4153"/>
        <w:tab w:val="right" w:pos="8306"/>
      </w:tabs>
      <w:snapToGrid w:val="0"/>
      <w:jc w:val="left"/>
    </w:pPr>
    <w:rPr>
      <w:sz w:val="18"/>
      <w:szCs w:val="18"/>
    </w:rPr>
  </w:style>
  <w:style w:type="character" w:customStyle="1" w:styleId="Char0">
    <w:name w:val="页脚 Char"/>
    <w:basedOn w:val="a0"/>
    <w:link w:val="a4"/>
    <w:uiPriority w:val="99"/>
    <w:rsid w:val="00C85A10"/>
    <w:rPr>
      <w:sz w:val="18"/>
      <w:szCs w:val="18"/>
    </w:rPr>
  </w:style>
  <w:style w:type="paragraph" w:styleId="a5">
    <w:name w:val="Normal (Web)"/>
    <w:basedOn w:val="a"/>
    <w:uiPriority w:val="99"/>
    <w:unhideWhenUsed/>
    <w:rsid w:val="00C85A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85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3212">
      <w:bodyDiv w:val="1"/>
      <w:marLeft w:val="0"/>
      <w:marRight w:val="0"/>
      <w:marTop w:val="0"/>
      <w:marBottom w:val="0"/>
      <w:divBdr>
        <w:top w:val="none" w:sz="0" w:space="0" w:color="auto"/>
        <w:left w:val="none" w:sz="0" w:space="0" w:color="auto"/>
        <w:bottom w:val="none" w:sz="0" w:space="0" w:color="auto"/>
        <w:right w:val="none" w:sz="0" w:space="0" w:color="auto"/>
      </w:divBdr>
    </w:div>
    <w:div w:id="17292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649</Words>
  <Characters>3703</Characters>
  <Application>Microsoft Office Word</Application>
  <DocSecurity>0</DocSecurity>
  <Lines>30</Lines>
  <Paragraphs>8</Paragraphs>
  <ScaleCrop>false</ScaleCrop>
  <Company>Microsoft</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2021-08-17T06:49:00Z</dcterms:created>
  <dcterms:modified xsi:type="dcterms:W3CDTF">2022-09-07T05:55:00Z</dcterms:modified>
</cp:coreProperties>
</file>