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1C582">
      <w:pPr>
        <w:tabs>
          <w:tab w:val="left" w:pos="594"/>
          <w:tab w:val="left" w:pos="7560"/>
        </w:tabs>
        <w:adjustRightInd w:val="0"/>
        <w:snapToGrid w:val="0"/>
        <w:spacing w:line="560" w:lineRule="exact"/>
        <w:jc w:val="center"/>
        <w:rPr>
          <w:rFonts w:hint="eastAsia" w:ascii="方正小标宋_GBK" w:eastAsia="方正小标宋_GBK"/>
          <w:snapToGrid w:val="0"/>
          <w:color w:val="000000"/>
          <w:kern w:val="0"/>
          <w:sz w:val="44"/>
          <w:szCs w:val="44"/>
        </w:rPr>
      </w:pPr>
      <w:r>
        <w:rPr>
          <w:rFonts w:hint="eastAsia" w:ascii="方正小标宋简体" w:hAnsi="宋体" w:eastAsia="方正小标宋简体"/>
          <w:bCs/>
          <w:snapToGrid w:val="0"/>
          <w:color w:val="000000"/>
          <w:kern w:val="0"/>
          <w:sz w:val="44"/>
          <w:szCs w:val="44"/>
          <w:lang w:eastAsia="zh-CN"/>
        </w:rPr>
        <w:t>202</w:t>
      </w:r>
      <w:bookmarkStart w:id="0" w:name="_GoBack"/>
      <w:bookmarkEnd w:id="0"/>
      <w:r>
        <w:rPr>
          <w:rFonts w:hint="eastAsia" w:ascii="方正小标宋简体" w:hAnsi="宋体" w:eastAsia="方正小标宋简体"/>
          <w:bCs/>
          <w:snapToGrid w:val="0"/>
          <w:color w:val="000000"/>
          <w:kern w:val="0"/>
          <w:sz w:val="44"/>
          <w:szCs w:val="44"/>
          <w:lang w:eastAsia="zh-CN"/>
        </w:rPr>
        <w:t>6</w:t>
      </w:r>
      <w:r>
        <w:rPr>
          <w:rFonts w:hint="eastAsia" w:ascii="方正小标宋_GBK" w:eastAsia="方正小标宋_GBK"/>
          <w:snapToGrid w:val="0"/>
          <w:color w:val="000000"/>
          <w:kern w:val="0"/>
          <w:sz w:val="44"/>
          <w:szCs w:val="44"/>
        </w:rPr>
        <w:t>年度咨询工程师（投资）职业资格</w:t>
      </w:r>
    </w:p>
    <w:p w14:paraId="675AD4C1">
      <w:pPr>
        <w:tabs>
          <w:tab w:val="left" w:pos="594"/>
          <w:tab w:val="left" w:pos="7560"/>
        </w:tabs>
        <w:adjustRightInd w:val="0"/>
        <w:snapToGrid w:val="0"/>
        <w:spacing w:line="560" w:lineRule="exact"/>
        <w:jc w:val="center"/>
        <w:rPr>
          <w:rFonts w:hint="eastAsia" w:ascii="方正小标宋_GBK" w:eastAsia="方正小标宋_GBK"/>
          <w:snapToGrid w:val="0"/>
          <w:color w:val="000000"/>
          <w:kern w:val="0"/>
          <w:sz w:val="44"/>
          <w:szCs w:val="44"/>
        </w:rPr>
      </w:pPr>
      <w:r>
        <w:rPr>
          <w:rFonts w:hint="eastAsia" w:ascii="方正小标宋_GBK" w:eastAsia="方正小标宋_GBK"/>
          <w:snapToGrid w:val="0"/>
          <w:color w:val="000000"/>
          <w:kern w:val="0"/>
          <w:sz w:val="44"/>
          <w:szCs w:val="44"/>
        </w:rPr>
        <w:t>考试报考条件</w:t>
      </w:r>
    </w:p>
    <w:p w14:paraId="2E71D4C6">
      <w:pPr>
        <w:spacing w:line="560" w:lineRule="exact"/>
        <w:ind w:firstLine="632" w:firstLineChars="200"/>
        <w:rPr>
          <w:rFonts w:hint="eastAsia" w:ascii="仿宋_GB2312" w:hAnsi="仿宋_GB2312" w:cs="仿宋_GB2312"/>
          <w:snapToGrid w:val="0"/>
          <w:color w:val="000000"/>
          <w:kern w:val="0"/>
          <w:lang w:bidi="ar-SA"/>
        </w:rPr>
      </w:pPr>
    </w:p>
    <w:p w14:paraId="6DF054B8">
      <w:pPr>
        <w:spacing w:line="550" w:lineRule="exact"/>
        <w:ind w:firstLine="632" w:firstLineChars="200"/>
        <w:rPr>
          <w:rFonts w:hint="eastAsia" w:ascii="仿宋_GB2312" w:hAnsi="仿宋_GB2312" w:eastAsia="仿宋_GB2312" w:cs="仿宋_GB2312"/>
          <w:snapToGrid w:val="0"/>
          <w:color w:val="000000"/>
          <w:kern w:val="0"/>
          <w:sz w:val="32"/>
          <w:szCs w:val="32"/>
          <w:lang w:bidi="ar-SA"/>
        </w:rPr>
      </w:pPr>
      <w:r>
        <w:rPr>
          <w:rFonts w:hint="eastAsia" w:ascii="仿宋_GB2312" w:hAnsi="仿宋_GB2312" w:eastAsia="仿宋_GB2312" w:cs="仿宋_GB2312"/>
          <w:snapToGrid w:val="0"/>
          <w:color w:val="000000"/>
          <w:kern w:val="0"/>
          <w:sz w:val="32"/>
          <w:szCs w:val="32"/>
          <w:lang w:bidi="ar-SA"/>
        </w:rPr>
        <w:t>（一）级别为考全科（四科）的报考条件</w:t>
      </w:r>
    </w:p>
    <w:p w14:paraId="67315C87">
      <w:pPr>
        <w:spacing w:line="550" w:lineRule="exact"/>
        <w:ind w:firstLine="632" w:firstLineChars="200"/>
        <w:rPr>
          <w:rFonts w:hint="eastAsia" w:ascii="仿宋_GB2312" w:hAnsi="仿宋_GB2312" w:eastAsia="仿宋_GB2312" w:cs="仿宋_GB2312"/>
          <w:snapToGrid w:val="0"/>
          <w:color w:val="000000"/>
          <w:kern w:val="0"/>
          <w:sz w:val="32"/>
          <w:szCs w:val="32"/>
          <w:lang w:bidi="ar-SA"/>
        </w:rPr>
      </w:pPr>
      <w:r>
        <w:rPr>
          <w:rFonts w:hint="eastAsia" w:ascii="仿宋_GB2312" w:hAnsi="仿宋_GB2312" w:eastAsia="仿宋_GB2312" w:cs="仿宋_GB2312"/>
          <w:snapToGrid w:val="0"/>
          <w:color w:val="000000"/>
          <w:kern w:val="0"/>
          <w:sz w:val="32"/>
          <w:szCs w:val="32"/>
          <w:lang w:bidi="ar-SA"/>
        </w:rPr>
        <w:t>遵守国家法律、法规，恪守职业道德，并符合下列条件之一的，均可申请参加咨询工程师（投资）职业资格考试：</w:t>
      </w:r>
    </w:p>
    <w:p w14:paraId="074BA7F9">
      <w:pPr>
        <w:adjustRightInd w:val="0"/>
        <w:snapToGrid w:val="0"/>
        <w:spacing w:line="550" w:lineRule="exact"/>
        <w:ind w:firstLine="657" w:firstLineChars="208"/>
        <w:rPr>
          <w:rFonts w:hint="eastAsia" w:ascii="仿宋_GB2312" w:hAnsi="仿宋_GB2312" w:eastAsia="仿宋_GB2312" w:cs="仿宋_GB2312"/>
          <w:snapToGrid w:val="0"/>
          <w:color w:val="000000"/>
          <w:kern w:val="0"/>
          <w:sz w:val="32"/>
          <w:szCs w:val="32"/>
          <w:lang w:bidi="ar-SA"/>
        </w:rPr>
      </w:pPr>
      <w:r>
        <w:rPr>
          <w:rFonts w:hint="eastAsia" w:ascii="仿宋_GB2312" w:hAnsi="仿宋_GB2312" w:eastAsia="仿宋_GB2312" w:cs="仿宋_GB2312"/>
          <w:snapToGrid w:val="0"/>
          <w:color w:val="000000"/>
          <w:kern w:val="0"/>
          <w:sz w:val="32"/>
          <w:szCs w:val="32"/>
          <w:lang w:bidi="ar-SA"/>
        </w:rPr>
        <w:t>1.取得工学学科门类专业，或者经济学类、管理科学与工程类专业大学专科学历，累计从事工程咨询业务满8年；</w:t>
      </w:r>
    </w:p>
    <w:p w14:paraId="0D56DC03">
      <w:pPr>
        <w:adjustRightInd w:val="0"/>
        <w:snapToGrid w:val="0"/>
        <w:spacing w:line="550" w:lineRule="exact"/>
        <w:ind w:firstLine="657" w:firstLineChars="208"/>
        <w:rPr>
          <w:rFonts w:hint="eastAsia" w:ascii="仿宋_GB2312" w:hAnsi="仿宋_GB2312" w:eastAsia="仿宋_GB2312" w:cs="仿宋_GB2312"/>
          <w:snapToGrid w:val="0"/>
          <w:color w:val="000000"/>
          <w:kern w:val="0"/>
          <w:sz w:val="32"/>
          <w:szCs w:val="32"/>
          <w:lang w:bidi="ar-SA"/>
        </w:rPr>
      </w:pPr>
      <w:r>
        <w:rPr>
          <w:rFonts w:hint="eastAsia" w:ascii="仿宋_GB2312" w:hAnsi="仿宋_GB2312" w:eastAsia="仿宋_GB2312" w:cs="仿宋_GB2312"/>
          <w:snapToGrid w:val="0"/>
          <w:color w:val="000000"/>
          <w:kern w:val="0"/>
          <w:sz w:val="32"/>
          <w:szCs w:val="32"/>
          <w:lang w:bidi="ar-SA"/>
        </w:rPr>
        <w:t>2.取得工学学科门类专业，或者经济学类、管理科学与工程类专业大学本科学历或者学位，累计从事工程咨询业务满6年；</w:t>
      </w:r>
    </w:p>
    <w:p w14:paraId="40807595">
      <w:pPr>
        <w:adjustRightInd w:val="0"/>
        <w:snapToGrid w:val="0"/>
        <w:spacing w:line="550" w:lineRule="exact"/>
        <w:ind w:firstLine="657" w:firstLineChars="208"/>
        <w:rPr>
          <w:rFonts w:hint="eastAsia" w:ascii="仿宋_GB2312" w:hAnsi="仿宋_GB2312" w:eastAsia="仿宋_GB2312" w:cs="仿宋_GB2312"/>
          <w:snapToGrid w:val="0"/>
          <w:color w:val="000000"/>
          <w:kern w:val="0"/>
          <w:sz w:val="32"/>
          <w:szCs w:val="32"/>
          <w:lang w:bidi="ar-SA"/>
        </w:rPr>
      </w:pPr>
      <w:r>
        <w:rPr>
          <w:rFonts w:hint="eastAsia" w:ascii="仿宋_GB2312" w:hAnsi="仿宋_GB2312" w:eastAsia="仿宋_GB2312" w:cs="仿宋_GB2312"/>
          <w:snapToGrid w:val="0"/>
          <w:color w:val="000000"/>
          <w:kern w:val="0"/>
          <w:sz w:val="32"/>
          <w:szCs w:val="32"/>
          <w:lang w:bidi="ar-SA"/>
        </w:rPr>
        <w:t>3.取得含工学学科门类专业，或者经济学类、管理科学与工程类专业在内的双学士学位，或者工学学科门类专业研究生班毕业，累计从事工程咨询业务满4年；</w:t>
      </w:r>
    </w:p>
    <w:p w14:paraId="6EE1D57D">
      <w:pPr>
        <w:adjustRightInd w:val="0"/>
        <w:snapToGrid w:val="0"/>
        <w:spacing w:line="550" w:lineRule="exact"/>
        <w:ind w:firstLine="657" w:firstLineChars="208"/>
        <w:rPr>
          <w:rFonts w:hint="eastAsia" w:ascii="仿宋_GB2312" w:hAnsi="仿宋_GB2312" w:eastAsia="仿宋_GB2312" w:cs="仿宋_GB2312"/>
          <w:snapToGrid w:val="0"/>
          <w:color w:val="000000"/>
          <w:kern w:val="0"/>
          <w:sz w:val="32"/>
          <w:szCs w:val="32"/>
          <w:lang w:bidi="ar-SA"/>
        </w:rPr>
      </w:pPr>
      <w:r>
        <w:rPr>
          <w:rFonts w:hint="eastAsia" w:ascii="仿宋_GB2312" w:hAnsi="仿宋_GB2312" w:eastAsia="仿宋_GB2312" w:cs="仿宋_GB2312"/>
          <w:snapToGrid w:val="0"/>
          <w:color w:val="000000"/>
          <w:kern w:val="0"/>
          <w:sz w:val="32"/>
          <w:szCs w:val="32"/>
          <w:lang w:bidi="ar-SA"/>
        </w:rPr>
        <w:t>4.取得工学学科门类专业，或者经济学类、管理科学与工程类专业硕士学位，累计从事工程咨询业务满3年；</w:t>
      </w:r>
    </w:p>
    <w:p w14:paraId="5E9D5109">
      <w:pPr>
        <w:adjustRightInd w:val="0"/>
        <w:snapToGrid w:val="0"/>
        <w:spacing w:line="550" w:lineRule="exact"/>
        <w:ind w:firstLine="657" w:firstLineChars="208"/>
        <w:rPr>
          <w:rFonts w:hint="eastAsia" w:ascii="仿宋_GB2312" w:hAnsi="仿宋_GB2312" w:eastAsia="仿宋_GB2312" w:cs="仿宋_GB2312"/>
          <w:snapToGrid w:val="0"/>
          <w:color w:val="000000"/>
          <w:kern w:val="0"/>
          <w:sz w:val="32"/>
          <w:szCs w:val="32"/>
          <w:lang w:bidi="ar-SA"/>
        </w:rPr>
      </w:pPr>
      <w:r>
        <w:rPr>
          <w:rFonts w:hint="eastAsia" w:ascii="仿宋_GB2312" w:hAnsi="仿宋_GB2312" w:eastAsia="仿宋_GB2312" w:cs="仿宋_GB2312"/>
          <w:snapToGrid w:val="0"/>
          <w:color w:val="000000"/>
          <w:kern w:val="0"/>
          <w:sz w:val="32"/>
          <w:szCs w:val="32"/>
          <w:lang w:bidi="ar-SA"/>
        </w:rPr>
        <w:t>5.取得工学学科门类专业，或者经济学类、管理科学与工程类专业博士学位，累计从事工程咨询业务满2年；</w:t>
      </w:r>
    </w:p>
    <w:p w14:paraId="3851ED77">
      <w:pPr>
        <w:adjustRightInd w:val="0"/>
        <w:snapToGrid w:val="0"/>
        <w:spacing w:line="550" w:lineRule="exact"/>
        <w:ind w:firstLine="657" w:firstLineChars="208"/>
        <w:rPr>
          <w:rFonts w:hint="eastAsia" w:ascii="仿宋_GB2312" w:hAnsi="仿宋_GB2312" w:eastAsia="仿宋_GB2312" w:cs="仿宋_GB2312"/>
          <w:snapToGrid w:val="0"/>
          <w:color w:val="000000"/>
          <w:kern w:val="0"/>
          <w:sz w:val="32"/>
          <w:szCs w:val="32"/>
          <w:lang w:bidi="ar-SA"/>
        </w:rPr>
      </w:pPr>
      <w:r>
        <w:rPr>
          <w:rFonts w:hint="eastAsia" w:ascii="仿宋_GB2312" w:hAnsi="仿宋_GB2312" w:eastAsia="仿宋_GB2312" w:cs="仿宋_GB2312"/>
          <w:snapToGrid w:val="0"/>
          <w:color w:val="000000"/>
          <w:kern w:val="0"/>
          <w:sz w:val="32"/>
          <w:szCs w:val="32"/>
          <w:lang w:bidi="ar-SA"/>
        </w:rPr>
        <w:t>6.取得经济学、管理学学科门类其他专业，或者其他学科门类各专业的上述学历或者学位人员，累计从事工程咨询业务年限相应增加2年。</w:t>
      </w:r>
    </w:p>
    <w:p w14:paraId="7B3B7AFF">
      <w:pPr>
        <w:spacing w:line="550" w:lineRule="exact"/>
        <w:ind w:firstLine="632" w:firstLineChars="200"/>
        <w:rPr>
          <w:rFonts w:hint="eastAsia" w:ascii="仿宋_GB2312" w:hAnsi="仿宋_GB2312" w:eastAsia="仿宋_GB2312" w:cs="仿宋_GB2312"/>
          <w:snapToGrid w:val="0"/>
          <w:color w:val="000000"/>
          <w:kern w:val="0"/>
          <w:sz w:val="32"/>
          <w:szCs w:val="32"/>
          <w:lang w:bidi="ar-SA"/>
        </w:rPr>
      </w:pPr>
      <w:r>
        <w:rPr>
          <w:rFonts w:hint="eastAsia" w:ascii="仿宋_GB2312" w:hAnsi="仿宋_GB2312" w:eastAsia="仿宋_GB2312" w:cs="仿宋_GB2312"/>
          <w:snapToGrid w:val="0"/>
          <w:color w:val="000000"/>
          <w:kern w:val="0"/>
          <w:sz w:val="32"/>
          <w:szCs w:val="32"/>
          <w:lang w:bidi="ar-SA"/>
        </w:rPr>
        <w:t>（二）级别为免二科的报考条件</w:t>
      </w:r>
    </w:p>
    <w:p w14:paraId="140B720A">
      <w:pPr>
        <w:spacing w:line="550" w:lineRule="exact"/>
        <w:ind w:firstLine="632" w:firstLineChars="200"/>
        <w:rPr>
          <w:rFonts w:hint="eastAsia" w:ascii="仿宋_GB2312" w:hAnsi="仿宋_GB2312" w:eastAsia="仿宋_GB2312" w:cs="仿宋_GB2312"/>
          <w:snapToGrid w:val="0"/>
          <w:color w:val="000000"/>
          <w:kern w:val="0"/>
          <w:sz w:val="32"/>
          <w:szCs w:val="32"/>
          <w:lang w:bidi="ar-SA"/>
        </w:rPr>
      </w:pPr>
      <w:r>
        <w:rPr>
          <w:rFonts w:hint="eastAsia" w:ascii="仿宋_GB2312" w:hAnsi="仿宋_GB2312" w:eastAsia="仿宋_GB2312" w:cs="仿宋_GB2312"/>
          <w:snapToGrid w:val="0"/>
          <w:color w:val="000000"/>
          <w:kern w:val="0"/>
          <w:sz w:val="32"/>
          <w:szCs w:val="32"/>
          <w:lang w:bidi="ar-SA"/>
        </w:rPr>
        <w:t>凡符合以上“考全科”报考条件并具备下列一项条件者，可免试《宏观经济政策与发展规划》《工程项目组织与管理》科目，只参加《项目决策分析与评价》和《现代咨询方法与实务》2个科目的考试。</w:t>
      </w:r>
    </w:p>
    <w:p w14:paraId="3DAAC894">
      <w:pPr>
        <w:spacing w:line="550" w:lineRule="exact"/>
        <w:ind w:firstLine="632" w:firstLineChars="200"/>
        <w:rPr>
          <w:rFonts w:hint="eastAsia" w:ascii="仿宋_GB2312" w:hAnsi="仿宋_GB2312" w:eastAsia="仿宋_GB2312" w:cs="仿宋_GB2312"/>
          <w:snapToGrid w:val="0"/>
          <w:color w:val="000000"/>
          <w:kern w:val="0"/>
          <w:sz w:val="32"/>
          <w:szCs w:val="32"/>
          <w:lang w:bidi="ar-SA"/>
        </w:rPr>
      </w:pPr>
      <w:r>
        <w:rPr>
          <w:rFonts w:hint="eastAsia" w:ascii="仿宋_GB2312" w:hAnsi="仿宋_GB2312" w:eastAsia="仿宋_GB2312" w:cs="仿宋_GB2312"/>
          <w:snapToGrid w:val="0"/>
          <w:color w:val="000000"/>
          <w:kern w:val="0"/>
          <w:sz w:val="32"/>
          <w:szCs w:val="32"/>
          <w:lang w:bidi="ar-SA"/>
        </w:rPr>
        <w:t>1.获得全国优秀工程咨询成果奖项目或者全国优秀工程勘察设计奖项目的主要完成人；</w:t>
      </w:r>
    </w:p>
    <w:p w14:paraId="197C74F8">
      <w:pPr>
        <w:spacing w:line="550" w:lineRule="exact"/>
        <w:ind w:firstLine="632" w:firstLineChars="200"/>
        <w:rPr>
          <w:rFonts w:hint="eastAsia" w:ascii="仿宋_GB2312" w:hAnsi="仿宋_GB2312" w:eastAsia="仿宋_GB2312" w:cs="仿宋_GB2312"/>
          <w:snapToGrid w:val="0"/>
          <w:color w:val="000000"/>
          <w:kern w:val="0"/>
          <w:sz w:val="32"/>
          <w:szCs w:val="32"/>
          <w:lang w:bidi="ar-SA"/>
        </w:rPr>
      </w:pPr>
      <w:r>
        <w:rPr>
          <w:rFonts w:hint="eastAsia" w:ascii="仿宋_GB2312" w:hAnsi="仿宋_GB2312" w:eastAsia="仿宋_GB2312" w:cs="仿宋_GB2312"/>
          <w:snapToGrid w:val="0"/>
          <w:color w:val="000000"/>
          <w:kern w:val="0"/>
          <w:sz w:val="32"/>
          <w:szCs w:val="32"/>
          <w:lang w:bidi="ar-SA"/>
        </w:rPr>
        <w:t>2.通过全国统一考试取得工程技术类职业资格证书，并从事工程咨询业务工作满8年。</w:t>
      </w:r>
    </w:p>
    <w:p w14:paraId="4B512AD1">
      <w:pPr>
        <w:tabs>
          <w:tab w:val="left" w:pos="7980"/>
        </w:tabs>
        <w:spacing w:line="550" w:lineRule="exact"/>
        <w:ind w:firstLine="632"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napToGrid w:val="0"/>
          <w:color w:val="000000"/>
          <w:kern w:val="0"/>
          <w:sz w:val="32"/>
          <w:szCs w:val="32"/>
          <w:lang w:bidi="ar-SA"/>
        </w:rPr>
        <w:t>（三）《</w:t>
      </w:r>
      <w:r>
        <w:rPr>
          <w:rFonts w:hint="eastAsia" w:ascii="仿宋_GB2312" w:hAnsi="仿宋_GB2312" w:eastAsia="仿宋_GB2312" w:cs="仿宋_GB2312"/>
          <w:sz w:val="32"/>
          <w:szCs w:val="32"/>
          <w:lang w:bidi="ar-SA"/>
        </w:rPr>
        <w:t>暂行规定</w:t>
      </w:r>
      <w:r>
        <w:rPr>
          <w:rFonts w:hint="eastAsia" w:ascii="仿宋_GB2312" w:hAnsi="仿宋_GB2312" w:eastAsia="仿宋_GB2312" w:cs="仿宋_GB2312"/>
          <w:snapToGrid w:val="0"/>
          <w:color w:val="000000"/>
          <w:kern w:val="0"/>
          <w:sz w:val="32"/>
          <w:szCs w:val="32"/>
          <w:lang w:bidi="ar-SA"/>
        </w:rPr>
        <w:t>》</w:t>
      </w:r>
      <w:r>
        <w:rPr>
          <w:rFonts w:hint="eastAsia" w:ascii="仿宋_GB2312" w:hAnsi="仿宋_GB2312" w:eastAsia="仿宋_GB2312" w:cs="仿宋_GB2312"/>
          <w:sz w:val="32"/>
          <w:szCs w:val="32"/>
          <w:lang w:bidi="ar-SA"/>
        </w:rPr>
        <w:t>中所称“学历、学位”，是指国家承认的国民教育系列学历、学位，包括参加普通高等教育、成人高等教育、电大开放教育、网络远程教育、高等教育自学考试所取得的学历、学位。本人应完成学业并获得相关学历、学位证书（肄业证书、结业证书除外）。</w:t>
      </w:r>
    </w:p>
    <w:p w14:paraId="45BDA46A">
      <w:pPr>
        <w:tabs>
          <w:tab w:val="left" w:pos="7980"/>
        </w:tabs>
        <w:spacing w:line="550" w:lineRule="exact"/>
        <w:ind w:firstLine="632"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napToGrid w:val="0"/>
          <w:color w:val="000000"/>
          <w:kern w:val="0"/>
          <w:sz w:val="32"/>
          <w:szCs w:val="32"/>
          <w:lang w:bidi="ar-SA"/>
        </w:rPr>
        <w:t>《</w:t>
      </w:r>
      <w:r>
        <w:rPr>
          <w:rFonts w:hint="eastAsia" w:ascii="仿宋_GB2312" w:hAnsi="仿宋_GB2312" w:eastAsia="仿宋_GB2312" w:cs="仿宋_GB2312"/>
          <w:sz w:val="32"/>
          <w:szCs w:val="32"/>
          <w:lang w:bidi="ar-SA"/>
        </w:rPr>
        <w:t>暂行规定</w:t>
      </w:r>
      <w:r>
        <w:rPr>
          <w:rFonts w:hint="eastAsia" w:ascii="仿宋_GB2312" w:hAnsi="仿宋_GB2312" w:eastAsia="仿宋_GB2312" w:cs="仿宋_GB2312"/>
          <w:snapToGrid w:val="0"/>
          <w:color w:val="000000"/>
          <w:kern w:val="0"/>
          <w:sz w:val="32"/>
          <w:szCs w:val="32"/>
          <w:lang w:bidi="ar-SA"/>
        </w:rPr>
        <w:t>》</w:t>
      </w:r>
      <w:r>
        <w:rPr>
          <w:rFonts w:hint="eastAsia" w:ascii="仿宋_GB2312" w:hAnsi="仿宋_GB2312" w:eastAsia="仿宋_GB2312" w:cs="仿宋_GB2312"/>
          <w:sz w:val="32"/>
          <w:szCs w:val="32"/>
          <w:lang w:bidi="ar-SA"/>
        </w:rPr>
        <w:t>中所称“工程咨询业务”，是指国家发展改革委印发的《工程咨询行业管理办法》（国家发展改革委2017年第9号令）中规定的工程咨询服务范围，包括：1.规划咨询：含总体规划、专项规划、区域规划及行业规划的编制；2.项目咨询：含项目投资机会研究、投融资策划，项目建议书(预可行性研究)、项目可行性研究报告、项目申请报告、资金申请报告的编制，政府和社会资本合作（PPP）项目咨询等；3.评估咨询：各级政府及有关部门委托的对规划、项目建议书、可行性研究报告、项目申请报告、资金申请报告、PPP 项目实施方案、初步设计的评估，规划和项目中期评价、后评价，项目概预决算审查，及其他履行投资管理职能所需的专业技术服务；4.全过程工程咨询：采用多种服务方式组合，为项目决策、实施和运营持续提供局部或整体解决方案以及管理服务。</w:t>
      </w:r>
    </w:p>
    <w:p w14:paraId="74166A0A">
      <w:pPr>
        <w:tabs>
          <w:tab w:val="left" w:pos="7980"/>
        </w:tabs>
        <w:spacing w:line="550" w:lineRule="exact"/>
        <w:ind w:firstLine="632"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根据国家发展改革委和住房城乡建设部《关于推进全过程工程咨询服务发展的指导意见》（发改投资规〔2019〕515号），投资咨询、招标代理、勘察、设计、监理、造价、项目管理等，均属于工程咨询业务。</w:t>
      </w:r>
    </w:p>
    <w:p w14:paraId="142EFD7D">
      <w:pPr>
        <w:tabs>
          <w:tab w:val="left" w:pos="7980"/>
        </w:tabs>
        <w:spacing w:line="550" w:lineRule="exact"/>
        <w:ind w:firstLine="632"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napToGrid w:val="0"/>
          <w:color w:val="000000"/>
          <w:kern w:val="0"/>
          <w:sz w:val="32"/>
          <w:szCs w:val="32"/>
          <w:lang w:bidi="ar-SA"/>
        </w:rPr>
        <w:t>《</w:t>
      </w:r>
      <w:r>
        <w:rPr>
          <w:rFonts w:hint="eastAsia" w:ascii="仿宋_GB2312" w:hAnsi="仿宋_GB2312" w:eastAsia="仿宋_GB2312" w:cs="仿宋_GB2312"/>
          <w:sz w:val="32"/>
          <w:szCs w:val="32"/>
          <w:lang w:bidi="ar-SA"/>
        </w:rPr>
        <w:t>暂行规定</w:t>
      </w:r>
      <w:r>
        <w:rPr>
          <w:rFonts w:hint="eastAsia" w:ascii="仿宋_GB2312" w:hAnsi="仿宋_GB2312" w:eastAsia="仿宋_GB2312" w:cs="仿宋_GB2312"/>
          <w:snapToGrid w:val="0"/>
          <w:color w:val="000000"/>
          <w:kern w:val="0"/>
          <w:sz w:val="32"/>
          <w:szCs w:val="32"/>
          <w:lang w:bidi="ar-SA"/>
        </w:rPr>
        <w:t>》</w:t>
      </w:r>
      <w:r>
        <w:rPr>
          <w:rFonts w:hint="eastAsia" w:ascii="仿宋_GB2312" w:hAnsi="仿宋_GB2312" w:eastAsia="仿宋_GB2312" w:cs="仿宋_GB2312"/>
          <w:sz w:val="32"/>
          <w:szCs w:val="32"/>
          <w:lang w:bidi="ar-SA"/>
        </w:rPr>
        <w:t>中所称“从业年限”，是指报考人员自参加工作之日起累计从事工程咨询业务时间的总和，计算截止日期为考试当年度的12月31日。</w:t>
      </w:r>
    </w:p>
    <w:p w14:paraId="26B0D1DA">
      <w:pPr>
        <w:tabs>
          <w:tab w:val="left" w:pos="7980"/>
        </w:tabs>
        <w:spacing w:line="550" w:lineRule="exact"/>
        <w:ind w:firstLine="632"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napToGrid w:val="0"/>
          <w:color w:val="000000"/>
          <w:kern w:val="0"/>
          <w:sz w:val="32"/>
          <w:szCs w:val="32"/>
          <w:lang w:bidi="ar-SA"/>
        </w:rPr>
        <w:t>《</w:t>
      </w:r>
      <w:r>
        <w:rPr>
          <w:rFonts w:hint="eastAsia" w:ascii="仿宋_GB2312" w:hAnsi="仿宋_GB2312" w:eastAsia="仿宋_GB2312" w:cs="仿宋_GB2312"/>
          <w:sz w:val="32"/>
          <w:szCs w:val="32"/>
          <w:lang w:bidi="ar-SA"/>
        </w:rPr>
        <w:t>暂行规定</w:t>
      </w:r>
      <w:r>
        <w:rPr>
          <w:rFonts w:hint="eastAsia" w:ascii="仿宋_GB2312" w:hAnsi="仿宋_GB2312" w:eastAsia="仿宋_GB2312" w:cs="仿宋_GB2312"/>
          <w:snapToGrid w:val="0"/>
          <w:color w:val="000000"/>
          <w:kern w:val="0"/>
          <w:sz w:val="32"/>
          <w:szCs w:val="32"/>
          <w:lang w:bidi="ar-SA"/>
        </w:rPr>
        <w:t>》</w:t>
      </w:r>
      <w:r>
        <w:rPr>
          <w:rFonts w:hint="eastAsia" w:ascii="仿宋_GB2312" w:hAnsi="仿宋_GB2312" w:eastAsia="仿宋_GB2312" w:cs="仿宋_GB2312"/>
          <w:sz w:val="32"/>
          <w:szCs w:val="32"/>
          <w:lang w:bidi="ar-SA"/>
        </w:rPr>
        <w:t>中所称“专业”，是指教育部印发的《普通高等学校本科专业目录》（2020年版）中所设置的有关学科门类专业，具体如下：“工学学科门类”专业是指“工学”学科门类下的所有专业；“经济学类”专业是指“经济学”学科门类下“经济学类”中的经济学专业和经济统计学专业；“管理科学与工程类”专业是指“管理学”学科门类下“管理科学与工程类”中的管理科学专业、信息管理与信息系统专业、工程管理专业、房地产开发与管理专业以及工程造价专业。</w:t>
      </w:r>
    </w:p>
    <w:p w14:paraId="76E397FB">
      <w:pPr>
        <w:tabs>
          <w:tab w:val="left" w:pos="7980"/>
        </w:tabs>
        <w:spacing w:line="550" w:lineRule="exact"/>
        <w:ind w:firstLine="632"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所学专业不属于上述学科门类专业范围的报考人员，其累计从事工程咨询业务的年限均相应增加2年。</w:t>
      </w:r>
    </w:p>
    <w:p w14:paraId="27D2FDF4">
      <w:pPr>
        <w:tabs>
          <w:tab w:val="left" w:pos="7980"/>
        </w:tabs>
        <w:spacing w:line="550" w:lineRule="exact"/>
        <w:ind w:firstLine="632"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实施办法》第六条（一）中所称获奖项目的“主要完成人”，是指中国工程咨询协会组织评选的全国优秀工程咨询成果一、二、三等奖和优秀奖，以及住房城乡建设部组织评选的全国优秀勘察设计金、银奖所附获奖证书或获奖名单中所列人员。</w:t>
      </w:r>
      <w:r>
        <w:rPr>
          <w:rFonts w:hint="eastAsia" w:ascii="仿宋_GB2312" w:hAnsi="仿宋_GB2312" w:eastAsia="仿宋_GB2312" w:cs="仿宋_GB2312"/>
          <w:color w:val="000000"/>
          <w:sz w:val="32"/>
          <w:szCs w:val="32"/>
          <w:lang w:bidi="ar-SA"/>
        </w:rPr>
        <w:t>上述人员可免试部分科目，只参加《项目决策分析与评价》和《现代咨询方法与实务》2个科目的考试。</w:t>
      </w:r>
    </w:p>
    <w:p w14:paraId="0FCFCEDB">
      <w:pPr>
        <w:spacing w:line="550" w:lineRule="exact"/>
        <w:ind w:firstLine="632" w:firstLineChars="200"/>
        <w:rPr>
          <w:rFonts w:hint="eastAsia" w:ascii="仿宋_GB2312" w:hAnsi="仿宋_GB2312" w:eastAsia="仿宋_GB2312" w:cs="仿宋_GB2312"/>
          <w:snapToGrid w:val="0"/>
          <w:color w:val="000000"/>
          <w:kern w:val="0"/>
          <w:sz w:val="32"/>
          <w:szCs w:val="32"/>
          <w:lang w:bidi="ar-SA"/>
        </w:rPr>
      </w:pPr>
      <w:r>
        <w:rPr>
          <w:rFonts w:hint="eastAsia" w:ascii="仿宋_GB2312" w:hAnsi="仿宋_GB2312" w:eastAsia="仿宋_GB2312" w:cs="仿宋_GB2312"/>
          <w:sz w:val="32"/>
          <w:szCs w:val="32"/>
          <w:lang w:bidi="ar-SA"/>
        </w:rPr>
        <w:t>《实施办法》第六条（二）</w:t>
      </w:r>
      <w:r>
        <w:rPr>
          <w:rFonts w:hint="eastAsia" w:ascii="仿宋_GB2312" w:hAnsi="仿宋_GB2312" w:eastAsia="仿宋_GB2312" w:cs="仿宋_GB2312"/>
          <w:snapToGrid w:val="0"/>
          <w:color w:val="000000"/>
          <w:kern w:val="0"/>
          <w:sz w:val="32"/>
          <w:szCs w:val="32"/>
          <w:lang w:bidi="ar-SA"/>
        </w:rPr>
        <w:t>中所称“工程技术类职业资格证书”，是指列入国家职业资格目录的工程技术类专业技术人员职业资格证书。具体包括：监理工程师、一级注册建筑师、环境影响评价工程师、注册核安全工程师、注册设备监理师、一级建造师、注册土木工程师、注册电气工程师、注册公用设备工程师、注册化工工程师、注册环保工程师、一级注册结构工程师、注册城乡规划师、一级造价工程师。</w:t>
      </w:r>
      <w:r>
        <w:rPr>
          <w:rFonts w:hint="eastAsia" w:ascii="仿宋_GB2312" w:hAnsi="仿宋_GB2312" w:eastAsia="仿宋_GB2312" w:cs="仿宋_GB2312"/>
          <w:color w:val="000000"/>
          <w:sz w:val="32"/>
          <w:szCs w:val="32"/>
          <w:lang w:bidi="ar-SA"/>
        </w:rPr>
        <w:t>取得上述职业资格证书并从事工程咨询业务工作满8年的人员，可免试部分科目，只参加《项目决策分析与评价》和《现代咨询方法与实务》2个科目的考试。</w:t>
      </w:r>
    </w:p>
    <w:p w14:paraId="26B0598C">
      <w:pPr>
        <w:tabs>
          <w:tab w:val="left" w:pos="7980"/>
        </w:tabs>
        <w:spacing w:line="550" w:lineRule="exact"/>
        <w:ind w:firstLine="632"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四）港澳台居民符合报名条件的可报名参加咨询工程师（投资）职业资格考试。港澳台居民持内地高等学校毕业证书的，可以直接填报相关信息；持香港、澳门、台湾地区或者国外高等学校学历、学位报考者，其学历、学位须经教育部留学服务中心认证。</w:t>
      </w:r>
    </w:p>
    <w:p w14:paraId="16D5D328">
      <w:pPr>
        <w:tabs>
          <w:tab w:val="left" w:pos="7980"/>
        </w:tabs>
        <w:spacing w:line="550" w:lineRule="exact"/>
        <w:ind w:firstLine="632" w:firstLineChars="200"/>
        <w:rPr>
          <w:rFonts w:hint="eastAsia" w:ascii="仿宋_GB2312" w:eastAsia="仿宋_GB2312"/>
          <w:sz w:val="28"/>
          <w:szCs w:val="28"/>
        </w:rPr>
      </w:pPr>
      <w:r>
        <w:rPr>
          <w:rFonts w:hint="eastAsia" w:ascii="仿宋_GB2312" w:hAnsi="仿宋_GB2312" w:eastAsia="仿宋_GB2312" w:cs="仿宋_GB2312"/>
          <w:sz w:val="32"/>
          <w:szCs w:val="32"/>
          <w:lang w:bidi="ar-SA"/>
        </w:rPr>
        <w:t>（五）其他条件按《中国工程咨询协会关于咨询工程师（投资）职业资格考试有关问题的说明》（中咨协资信〔2021〕7号）执行</w:t>
      </w:r>
      <w:r>
        <w:rPr>
          <w:rFonts w:hint="eastAsia"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4600575</wp:posOffset>
                </wp:positionH>
                <wp:positionV relativeFrom="paragraph">
                  <wp:posOffset>8023860</wp:posOffset>
                </wp:positionV>
                <wp:extent cx="1066800" cy="495300"/>
                <wp:effectExtent l="0" t="0" r="0" b="0"/>
                <wp:wrapNone/>
                <wp:docPr id="1" name="矩形 1"/>
                <wp:cNvGraphicFramePr/>
                <a:graphic xmlns:a="http://schemas.openxmlformats.org/drawingml/2006/main">
                  <a:graphicData uri="http://schemas.microsoft.com/office/word/2010/wordprocessingShape">
                    <wps:wsp>
                      <wps:cNvSpPr/>
                      <wps:spPr>
                        <a:xfrm>
                          <a:off x="0" y="0"/>
                          <a:ext cx="1066800" cy="4953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62.25pt;margin-top:631.8pt;height:39pt;width:84pt;z-index:251659264;mso-width-relative:page;mso-height-relative:page;" fillcolor="#FFFFFF" filled="t" stroked="f" coordsize="21600,21600" o:gfxdata="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jP&#10;1w/aAAAADQEAAA8AAAAAAAAAAQAgAAAAIgAAAGRycy9kb3ducmV2LnhtbFBLAQIUABQAAAAIAIdO&#10;4kB6uzpmrwEAAF8DAAAOAAAAAAAAAAEAIAAAACkBAABkcnMvZTJvRG9jLnhtbFBLBQYAAAAABgAG&#10;AFkBAABKBQAAAAA=&#10;">
                <v:path/>
                <v:fill on="t" focussize="0,0"/>
                <v:stroke on="f"/>
                <v:imagedata o:title=""/>
                <o:lock v:ext="edit"/>
              </v:rect>
            </w:pict>
          </mc:Fallback>
        </mc:AlternateContent>
      </w:r>
      <w:r>
        <w:rPr>
          <w:rFonts w:hint="eastAsia" w:ascii="仿宋_GB2312" w:hAnsi="仿宋_GB2312" w:eastAsia="仿宋_GB2312" w:cs="仿宋_GB2312"/>
          <w:sz w:val="32"/>
          <w:szCs w:val="32"/>
          <w:lang w:bidi="ar-SA"/>
        </w:rPr>
        <w:t>。</w:t>
      </w:r>
    </w:p>
    <w:p w14:paraId="7E34C265">
      <w:pPr>
        <w:adjustRightInd w:val="0"/>
        <w:snapToGrid w:val="0"/>
        <w:spacing w:line="540" w:lineRule="exact"/>
        <w:ind w:right="1276"/>
        <w:jc w:val="left"/>
        <w:rPr>
          <w:rFonts w:hint="eastAsia" w:ascii="仿宋_GB2312" w:hAnsi="仿宋" w:cs="宋体"/>
          <w:bCs/>
          <w:snapToGrid w:val="0"/>
          <w:kern w:val="0"/>
          <w:lang w:bidi="ar-SA"/>
        </w:rPr>
      </w:pPr>
    </w:p>
    <w:p w14:paraId="6B94934E"/>
    <w:sectPr>
      <w:footerReference r:id="rId3" w:type="default"/>
      <w:footerReference r:id="rId4" w:type="even"/>
      <w:pgSz w:w="11906" w:h="16838"/>
      <w:pgMar w:top="2098" w:right="1531" w:bottom="1814" w:left="1531" w:header="851" w:footer="1020" w:gutter="0"/>
      <w:cols w:space="720" w:num="1"/>
      <w:titlePg/>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altName w:val="微软雅黑"/>
    <w:panose1 w:val="02010604000101010101"/>
    <w:charset w:val="86"/>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E56DA">
    <w:pPr>
      <w:pStyle w:val="5"/>
      <w:framePr w:w="1155" w:h="599" w:hRule="exact" w:wrap="around" w:vAnchor="text" w:hAnchor="page" w:x="9337" w:y="-322"/>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11</w:t>
    </w:r>
    <w:r>
      <w:rPr>
        <w:rFonts w:hint="eastAsia" w:ascii="宋体" w:hAnsi="宋体" w:eastAsia="宋体"/>
        <w:sz w:val="28"/>
        <w:szCs w:val="28"/>
      </w:rPr>
      <w:fldChar w:fldCharType="end"/>
    </w:r>
    <w:r>
      <w:rPr>
        <w:rFonts w:hint="eastAsia" w:ascii="宋体" w:hAnsi="宋体" w:eastAsia="宋体"/>
        <w:sz w:val="28"/>
        <w:szCs w:val="28"/>
      </w:rPr>
      <w:t xml:space="preserve"> —</w:t>
    </w:r>
  </w:p>
  <w:p w14:paraId="45852552">
    <w:pPr>
      <w:pStyle w:val="5"/>
      <w:framePr w:w="1155" w:h="599" w:hRule="exact" w:wrap="around" w:vAnchor="text" w:hAnchor="page" w:x="9337" w:y="-322"/>
      <w:rPr>
        <w:rStyle w:val="8"/>
        <w:sz w:val="28"/>
        <w:szCs w:val="28"/>
      </w:rPr>
    </w:pPr>
  </w:p>
  <w:p w14:paraId="54D93A41">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88074">
    <w:pPr>
      <w:pStyle w:val="5"/>
      <w:wordWrap w:val="0"/>
      <w:ind w:right="1120"/>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PAGE   \* MERGEFORMAT</w:instrText>
    </w:r>
    <w:r>
      <w:rPr>
        <w:rFonts w:hint="eastAsia" w:ascii="宋体" w:hAnsi="宋体" w:eastAsia="宋体"/>
        <w:sz w:val="28"/>
        <w:szCs w:val="28"/>
      </w:rPr>
      <w:fldChar w:fldCharType="separate"/>
    </w:r>
    <w:r>
      <w:rPr>
        <w:rFonts w:hint="eastAsia" w:ascii="宋体" w:hAnsi="宋体" w:eastAsia="宋体"/>
        <w:sz w:val="28"/>
        <w:szCs w:val="28"/>
        <w:lang w:val="zh-CN"/>
      </w:rPr>
      <w:t>8</w:t>
    </w:r>
    <w:r>
      <w:rPr>
        <w:rFonts w:hint="eastAsia" w:ascii="宋体" w:hAnsi="宋体" w:eastAsia="宋体"/>
        <w:sz w:val="28"/>
        <w:szCs w:val="28"/>
      </w:rPr>
      <w:fldChar w:fldCharType="end"/>
    </w:r>
    <w:r>
      <w:rPr>
        <w:rFonts w:hint="eastAsia" w:ascii="宋体" w:hAnsi="宋体" w:eastAsia="宋体"/>
        <w:sz w:val="28"/>
        <w:szCs w:val="28"/>
      </w:rPr>
      <w:t xml:space="preserve"> —</w:t>
    </w:r>
  </w:p>
  <w:p w14:paraId="4058276D">
    <w:pPr>
      <w:tabs>
        <w:tab w:val="left" w:pos="249"/>
      </w:tabs>
      <w:spacing w:line="240" w:lineRule="exact"/>
      <w:ind w:left="320" w:leftChars="100" w:right="57" w:firstLine="360"/>
      <w:rPr>
        <w:rFonts w:hint="eastAsia" w:ascii="宋体" w:hAnsi="宋体" w:eastAsia="宋体" w:cs="宋体"/>
        <w:sz w:val="28"/>
        <w:szCs w:val="28"/>
        <w:lang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5120E7"/>
    <w:rsid w:val="5C512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style>
  <w:style w:type="paragraph" w:styleId="3">
    <w:name w:val="Body Text Indent"/>
    <w:basedOn w:val="1"/>
    <w:next w:val="4"/>
    <w:uiPriority w:val="0"/>
    <w:pPr>
      <w:ind w:firstLine="200" w:firstLineChars="200"/>
    </w:pPr>
    <w:rPr>
      <w:rFonts w:ascii="仿宋_GB2312" w:hAnsi="宋体"/>
      <w:sz w:val="30"/>
      <w:szCs w:val="30"/>
    </w:rPr>
  </w:style>
  <w:style w:type="paragraph" w:styleId="4">
    <w:name w:val="Normal Indent"/>
    <w:basedOn w:val="1"/>
    <w:uiPriority w:val="0"/>
    <w:pPr>
      <w:spacing w:line="300" w:lineRule="auto"/>
      <w:ind w:firstLine="200" w:firstLineChars="200"/>
    </w:pPr>
    <w:rPr>
      <w:rFonts w:ascii="宋体" w:cs="宋体"/>
      <w:kern w:val="0"/>
      <w:sz w:val="24"/>
      <w:szCs w:val="24"/>
      <w:lang w:val="zh-CN" w:eastAsia="zh-CN" w:bidi="ar-SA"/>
    </w:rPr>
  </w:style>
  <w:style w:type="paragraph" w:styleId="5">
    <w:name w:val="footer"/>
    <w:basedOn w:val="1"/>
    <w:uiPriority w:val="0"/>
    <w:pPr>
      <w:tabs>
        <w:tab w:val="center" w:pos="4153"/>
        <w:tab w:val="right" w:pos="8306"/>
      </w:tabs>
      <w:snapToGrid w:val="0"/>
      <w:jc w:val="left"/>
    </w:pPr>
    <w:rPr>
      <w:sz w:val="18"/>
      <w:szCs w:val="18"/>
    </w:rPr>
  </w:style>
  <w:style w:type="character" w:styleId="8">
    <w:name w:val="page number"/>
    <w:uiPriority w:val="0"/>
    <w:rPr>
      <w:rFonts w:cs="Times New Roman"/>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2026-02-14T01:32:00Z</dcterms:created>
  <dc:creator>海风</dc:creator>
  <cp:lastModifiedBy>海风</cp:lastModifiedBy>
  <dcterms:modified xsi:type="dcterms:W3CDTF">2026-02-14T01:33:22Z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55B13641F60747D7BE9EA07472B44F3A_11</vt:lpwstr>
  </property>
  <property fmtid="{D5CDD505-2E9C-101B-9397-08002B2CF9AE}" pid="4" name="KSOTemplateDocerSaveRecord">
    <vt:lpwstr>eyJoZGlkIjoiMjczNmFkN2QyZWE3MjhhYjcxZmYxNjQ1NDVkNWY1N2EiLCJ1c2VySWQiOiIyMTIzMTc5OTUifQ==</vt:lpwstr>
  </property>
</Properties>
</file>