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D4" w:rsidRDefault="00395201">
      <w:pPr>
        <w:spacing w:before="5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1F1F1F"/>
          <w:sz w:val="32"/>
          <w:szCs w:val="32"/>
        </w:rPr>
        <w:t>附件</w:t>
      </w:r>
    </w:p>
    <w:p w:rsidR="00E829D4" w:rsidRDefault="00395201">
      <w:pPr>
        <w:pStyle w:val="1"/>
        <w:spacing w:line="600" w:lineRule="exact"/>
        <w:jc w:val="center"/>
        <w:rPr>
          <w:rFonts w:ascii="方正小标宋_GBK" w:eastAsia="方正小标宋_GBK" w:hAnsi="方正小标宋_GBK" w:cs="方正小标宋_GBK"/>
          <w:color w:val="38383B"/>
          <w:w w:val="1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1F1F1F"/>
          <w:w w:val="110"/>
          <w:sz w:val="44"/>
          <w:szCs w:val="44"/>
        </w:rPr>
        <w:t>青岛市推进新时代和谐劳动关系创建活动</w:t>
      </w:r>
      <w:r>
        <w:rPr>
          <w:rFonts w:ascii="方正小标宋_GBK" w:eastAsia="方正小标宋_GBK" w:hAnsi="方正小标宋_GBK" w:cs="方正小标宋_GBK" w:hint="eastAsia"/>
          <w:color w:val="38383B"/>
          <w:w w:val="110"/>
          <w:sz w:val="44"/>
          <w:szCs w:val="44"/>
        </w:rPr>
        <w:t>工</w:t>
      </w:r>
      <w:r>
        <w:rPr>
          <w:rFonts w:ascii="方正小标宋_GBK" w:eastAsia="方正小标宋_GBK" w:hAnsi="方正小标宋_GBK" w:cs="方正小标宋_GBK" w:hint="eastAsia"/>
          <w:color w:val="1F1F1F"/>
          <w:w w:val="110"/>
          <w:sz w:val="44"/>
          <w:szCs w:val="44"/>
        </w:rPr>
        <w:t>作任务</w:t>
      </w:r>
      <w:r>
        <w:rPr>
          <w:rFonts w:ascii="方正小标宋_GBK" w:eastAsia="方正小标宋_GBK" w:hAnsi="方正小标宋_GBK" w:cs="方正小标宋_GBK" w:hint="eastAsia"/>
          <w:color w:val="38383B"/>
          <w:w w:val="110"/>
          <w:sz w:val="44"/>
          <w:szCs w:val="44"/>
        </w:rPr>
        <w:t>表</w:t>
      </w:r>
    </w:p>
    <w:tbl>
      <w:tblPr>
        <w:tblStyle w:val="a6"/>
        <w:tblpPr w:leftFromText="180" w:rightFromText="180" w:vertAnchor="text" w:horzAnchor="page" w:tblpX="1099" w:tblpY="306"/>
        <w:tblOverlap w:val="never"/>
        <w:tblW w:w="14683" w:type="dxa"/>
        <w:tblLayout w:type="fixed"/>
        <w:tblLook w:val="04A0" w:firstRow="1" w:lastRow="0" w:firstColumn="1" w:lastColumn="0" w:noHBand="0" w:noVBand="1"/>
      </w:tblPr>
      <w:tblGrid>
        <w:gridCol w:w="816"/>
        <w:gridCol w:w="912"/>
        <w:gridCol w:w="7284"/>
        <w:gridCol w:w="1596"/>
        <w:gridCol w:w="1543"/>
        <w:gridCol w:w="2532"/>
      </w:tblGrid>
      <w:tr w:rsidR="00E829D4">
        <w:tc>
          <w:tcPr>
            <w:tcW w:w="816" w:type="dxa"/>
          </w:tcPr>
          <w:p w:rsidR="00E829D4" w:rsidRDefault="00395201">
            <w:pPr>
              <w:pStyle w:val="1"/>
              <w:ind w:left="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196" w:type="dxa"/>
            <w:gridSpan w:val="2"/>
          </w:tcPr>
          <w:p w:rsidR="00E829D4" w:rsidRDefault="00395201">
            <w:pPr>
              <w:pStyle w:val="1"/>
              <w:ind w:firstLineChars="1300" w:firstLine="364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</w:t>
            </w:r>
          </w:p>
        </w:tc>
        <w:tc>
          <w:tcPr>
            <w:tcW w:w="1596" w:type="dxa"/>
          </w:tcPr>
          <w:p w:rsidR="00E829D4" w:rsidRDefault="00395201">
            <w:pPr>
              <w:pStyle w:val="1"/>
              <w:ind w:left="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牵头单位</w:t>
            </w:r>
          </w:p>
        </w:tc>
        <w:tc>
          <w:tcPr>
            <w:tcW w:w="1543" w:type="dxa"/>
          </w:tcPr>
          <w:p w:rsidR="00E829D4" w:rsidRDefault="00395201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参加单位</w:t>
            </w:r>
          </w:p>
        </w:tc>
        <w:tc>
          <w:tcPr>
            <w:tcW w:w="2532" w:type="dxa"/>
          </w:tcPr>
          <w:p w:rsidR="00E829D4" w:rsidRDefault="00395201">
            <w:pPr>
              <w:pStyle w:val="1"/>
              <w:ind w:left="0" w:firstLineChars="100" w:firstLine="28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完成时限</w:t>
            </w:r>
          </w:p>
        </w:tc>
      </w:tr>
      <w:tr w:rsidR="00E829D4">
        <w:tc>
          <w:tcPr>
            <w:tcW w:w="816" w:type="dxa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12" w:type="dxa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部署工作任务</w:t>
            </w:r>
          </w:p>
        </w:tc>
        <w:tc>
          <w:tcPr>
            <w:tcW w:w="7284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按照《关于推进新时代和谐劳动关系创建活动的意见》和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省方案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要求，制定工作任务计划，完善机制和政策体系，扎实推进各项任务。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市总工会、市企业联合会/企业家协会、市工商联，各区（市）三方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E829D4">
            <w:pPr>
              <w:jc w:val="center"/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2023年5月底前</w:t>
            </w:r>
          </w:p>
        </w:tc>
      </w:tr>
      <w:tr w:rsidR="00E829D4">
        <w:tc>
          <w:tcPr>
            <w:tcW w:w="816" w:type="dxa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加强队伍建设</w:t>
            </w: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积极推进工业园区、街道、乡镇协调劳动关系组织建设，切实加强劳动关系协调员队伍建设，深入开展劳动关系协调员培训，逐步建立一支政治素质高、业务知识精、工作能力强、基层理论足的劳动关系协调员队伍。在企业普遍配备劳动关系协调员、劳动争议调解员，为和谐劳动关系创建提供支持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市总工会、市企业联合会/企业家协会、市工商联、各区（市）三方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E829D4">
        <w:tc>
          <w:tcPr>
            <w:tcW w:w="816" w:type="dxa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完善工作标准</w:t>
            </w: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充分利用三方力量深入开展调研论证，积极探索开展和谐劳动关系行业评价，试点通过集体协商等手段，在试点行业推行工资福利、定员定额、劳动安全等行业标准。发挥龙头企业构建和谐劳动关系的引领带动作用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市人力资源社会保障局</w:t>
            </w:r>
          </w:p>
        </w:tc>
        <w:tc>
          <w:tcPr>
            <w:tcW w:w="1543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市总工会、市企业联合会/企业家协会、市工商联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2024年10月底前</w:t>
            </w:r>
          </w:p>
        </w:tc>
      </w:tr>
      <w:tr w:rsidR="00E829D4">
        <w:trPr>
          <w:trHeight w:val="1271"/>
        </w:trPr>
        <w:tc>
          <w:tcPr>
            <w:tcW w:w="816" w:type="dxa"/>
            <w:vMerge w:val="restart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  <w:p w:rsidR="00E829D4" w:rsidRDefault="00E829D4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分类</w:t>
            </w: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培育</w:t>
            </w: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1.和谐劳动关系企业培育。全市各级三方开展重点培育指导服务，推动企业对照山东省《省级劳动关系和谐企业评价标准》(DB37/T 4077—2020)和《青岛市劳动关系和谐企业评价标准》（DB3702/FW RS 001-2019)，积极构建和谐劳动关系。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各区（市）</w:t>
            </w:r>
          </w:p>
          <w:p w:rsidR="00E829D4" w:rsidRDefault="00395201">
            <w:pPr>
              <w:pStyle w:val="1"/>
              <w:ind w:leftChars="200" w:left="42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E829D4">
        <w:trPr>
          <w:trHeight w:val="1199"/>
        </w:trPr>
        <w:tc>
          <w:tcPr>
            <w:tcW w:w="816" w:type="dxa"/>
            <w:vMerge/>
            <w:vAlign w:val="center"/>
          </w:tcPr>
          <w:p w:rsidR="00E829D4" w:rsidRDefault="00E829D4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E829D4" w:rsidRDefault="00E829D4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2.和谐劳动关系工业园区、乡镇（街道）培育。各级三方根据本地工作实际，持续推动工业园区、乡镇（街道）对照山东省《省级劳动关系和谐工业园区评价标准》(DB37/T 4076—2020)构建和谐劳动关系。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 w:rsidR="00E829D4" w:rsidRDefault="00E829D4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各区（市）</w:t>
            </w:r>
          </w:p>
          <w:p w:rsidR="00E829D4" w:rsidRDefault="00395201">
            <w:pPr>
              <w:pStyle w:val="1"/>
              <w:ind w:leftChars="200" w:left="42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  <w:tr w:rsidR="00E829D4">
        <w:tc>
          <w:tcPr>
            <w:tcW w:w="816" w:type="dxa"/>
            <w:vMerge/>
            <w:vAlign w:val="center"/>
          </w:tcPr>
          <w:p w:rsidR="00E829D4" w:rsidRDefault="00E829D4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E829D4" w:rsidRDefault="00E829D4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3.和谐劳动关系行业培育。各级三方会同本地区行业协会、商会、行业工会等组织，根据本地重点行业特点，充分发挥行业自律引领作用，带动行业内中小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构建和谐劳动关系。</w:t>
            </w:r>
          </w:p>
        </w:tc>
        <w:tc>
          <w:tcPr>
            <w:tcW w:w="1596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相关行业主管部门、市三方</w:t>
            </w:r>
          </w:p>
        </w:tc>
        <w:tc>
          <w:tcPr>
            <w:tcW w:w="1543" w:type="dxa"/>
          </w:tcPr>
          <w:p w:rsidR="00E829D4" w:rsidRDefault="00E829D4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各区（市）</w:t>
            </w:r>
          </w:p>
          <w:p w:rsidR="00E829D4" w:rsidRDefault="00395201">
            <w:pPr>
              <w:pStyle w:val="1"/>
              <w:ind w:leftChars="200" w:left="42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2023年底前，选取试点。2024年底前，巩固并扩大试点范围。2025年-2027年，推广试点经验。</w:t>
            </w:r>
          </w:p>
        </w:tc>
      </w:tr>
      <w:tr w:rsidR="00E829D4">
        <w:tc>
          <w:tcPr>
            <w:tcW w:w="816" w:type="dxa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完善激励措施</w:t>
            </w: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构建和谐劳动关系工作表现突出的工作机构、社会组织、企业、工业园区和乡镇（街道）及其相关工作人员，择优推荐参加“全国和谐劳动关系创建工作先进集体、先进个人”表彰。对省级和市级和谐劳动关系企业按规定享受相关激励政策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 w:rsidR="00E829D4" w:rsidRDefault="00E829D4">
            <w:pPr>
              <w:pStyle w:val="1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Chars="34" w:left="551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各区（市）三方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按国家和省、市</w:t>
            </w: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部署推进</w:t>
            </w:r>
          </w:p>
        </w:tc>
      </w:tr>
      <w:tr w:rsidR="00E829D4">
        <w:tc>
          <w:tcPr>
            <w:tcW w:w="816" w:type="dxa"/>
            <w:vAlign w:val="center"/>
          </w:tcPr>
          <w:p w:rsidR="00E829D4" w:rsidRDefault="00395201">
            <w:pPr>
              <w:pStyle w:val="1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做好服务指导</w:t>
            </w:r>
          </w:p>
        </w:tc>
        <w:tc>
          <w:tcPr>
            <w:tcW w:w="7284" w:type="dxa"/>
          </w:tcPr>
          <w:p w:rsidR="00E829D4" w:rsidRDefault="00395201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各级三方要结合各自职能，发挥三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方机制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势，形成工作合力。人力资源社会保障部门牵头做好组织、协调、调研、督导和服务工作。工会组织负责工会组织建设，加大对职工群众的思想政治引领，团结和凝聚广大职工建功立业新时代。企业代表组织充分发挥对企业经营者的团结、服务、引导、教育作用，根据企业特点提供服务指导，教育引导广大企业经营者主动承担社会责任。</w:t>
            </w:r>
          </w:p>
        </w:tc>
        <w:tc>
          <w:tcPr>
            <w:tcW w:w="1596" w:type="dxa"/>
          </w:tcPr>
          <w:p w:rsidR="00E829D4" w:rsidRDefault="00E829D4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E829D4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240" w:hangingChars="100" w:hanging="24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市三方</w:t>
            </w:r>
          </w:p>
        </w:tc>
        <w:tc>
          <w:tcPr>
            <w:tcW w:w="1543" w:type="dxa"/>
          </w:tcPr>
          <w:p w:rsidR="00E829D4" w:rsidRDefault="00E829D4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480" w:hangingChars="200" w:hanging="480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各区（市）</w:t>
            </w:r>
          </w:p>
          <w:p w:rsidR="00E829D4" w:rsidRDefault="00395201">
            <w:pPr>
              <w:pStyle w:val="1"/>
              <w:ind w:leftChars="228" w:left="479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三方</w:t>
            </w:r>
          </w:p>
        </w:tc>
        <w:tc>
          <w:tcPr>
            <w:tcW w:w="2532" w:type="dxa"/>
          </w:tcPr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E829D4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829D4" w:rsidRDefault="00395201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持续推进</w:t>
            </w:r>
          </w:p>
        </w:tc>
      </w:tr>
    </w:tbl>
    <w:p w:rsidR="00E829D4" w:rsidRDefault="00E829D4">
      <w:pPr>
        <w:rPr>
          <w:color w:val="38383B"/>
          <w:w w:val="110"/>
        </w:rPr>
      </w:pPr>
    </w:p>
    <w:p w:rsidR="00E829D4" w:rsidRDefault="00E829D4" w:rsidP="00395201">
      <w:pPr>
        <w:spacing w:line="560" w:lineRule="exact"/>
        <w:rPr>
          <w:rFonts w:hint="eastAsia"/>
        </w:rPr>
      </w:pPr>
      <w:bookmarkStart w:id="0" w:name="OLE_LINK1"/>
      <w:bookmarkStart w:id="1" w:name="_GoBack"/>
      <w:bookmarkEnd w:id="0"/>
      <w:bookmarkEnd w:id="1"/>
    </w:p>
    <w:sectPr w:rsidR="00E829D4" w:rsidSect="00DB0E18">
      <w:footerReference w:type="default" r:id="rId7"/>
      <w:pgSz w:w="16838" w:h="11906" w:orient="landscape"/>
      <w:pgMar w:top="1587" w:right="2098" w:bottom="1803" w:left="1984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47" w:rsidRDefault="00395201">
      <w:r>
        <w:separator/>
      </w:r>
    </w:p>
  </w:endnote>
  <w:endnote w:type="continuationSeparator" w:id="0">
    <w:p w:rsidR="00AA3047" w:rsidRDefault="003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D4" w:rsidRDefault="003952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24F8BE" wp14:editId="0A6757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29D4" w:rsidRDefault="0039520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171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4F8B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829D4" w:rsidRDefault="0039520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F171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47" w:rsidRDefault="00395201">
      <w:r>
        <w:separator/>
      </w:r>
    </w:p>
  </w:footnote>
  <w:footnote w:type="continuationSeparator" w:id="0">
    <w:p w:rsidR="00AA3047" w:rsidRDefault="0039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B36E0"/>
    <w:rsid w:val="000404D3"/>
    <w:rsid w:val="00395201"/>
    <w:rsid w:val="004F1712"/>
    <w:rsid w:val="0055794E"/>
    <w:rsid w:val="00853A27"/>
    <w:rsid w:val="009079AB"/>
    <w:rsid w:val="00AA3047"/>
    <w:rsid w:val="00B332AE"/>
    <w:rsid w:val="00D15F1C"/>
    <w:rsid w:val="00DB0E18"/>
    <w:rsid w:val="00E27E99"/>
    <w:rsid w:val="00E829D4"/>
    <w:rsid w:val="00EB239F"/>
    <w:rsid w:val="0BDA47F0"/>
    <w:rsid w:val="18D81014"/>
    <w:rsid w:val="1BE25E0A"/>
    <w:rsid w:val="20765919"/>
    <w:rsid w:val="28FE72B5"/>
    <w:rsid w:val="2E103103"/>
    <w:rsid w:val="2E95126A"/>
    <w:rsid w:val="2F0F7355"/>
    <w:rsid w:val="2FAD59F0"/>
    <w:rsid w:val="3404798A"/>
    <w:rsid w:val="3C835741"/>
    <w:rsid w:val="3DD70D4C"/>
    <w:rsid w:val="45050EDE"/>
    <w:rsid w:val="46F92A46"/>
    <w:rsid w:val="4759104A"/>
    <w:rsid w:val="4ECC63E7"/>
    <w:rsid w:val="518B3B4E"/>
    <w:rsid w:val="5BEB36E0"/>
    <w:rsid w:val="5D205A4E"/>
    <w:rsid w:val="5EF000C4"/>
    <w:rsid w:val="60A9304E"/>
    <w:rsid w:val="6C3B2DED"/>
    <w:rsid w:val="6CAC389A"/>
    <w:rsid w:val="70457D32"/>
    <w:rsid w:val="73440265"/>
    <w:rsid w:val="78773D13"/>
    <w:rsid w:val="78EF308D"/>
    <w:rsid w:val="7C1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0A489C6-F5F6-4F09-AAB9-4F31EF3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76"/>
      <w:outlineLvl w:val="0"/>
    </w:pPr>
    <w:rPr>
      <w:rFonts w:ascii="宋体" w:eastAsia="宋体" w:hAnsi="宋体" w:cs="宋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kern w:val="2"/>
      <w:sz w:val="21"/>
      <w:szCs w:val="24"/>
    </w:rPr>
  </w:style>
  <w:style w:type="paragraph" w:styleId="a3">
    <w:name w:val="Body Text"/>
    <w:basedOn w:val="a"/>
    <w:next w:val="a4"/>
    <w:uiPriority w:val="99"/>
    <w:qFormat/>
    <w:rPr>
      <w:rFonts w:ascii="Times New Roman" w:eastAsia="仿宋_GB2312" w:hAnsi="Times New Roman" w:cs="Times New Roman"/>
      <w:sz w:val="28"/>
      <w:szCs w:val="28"/>
    </w:rPr>
  </w:style>
  <w:style w:type="paragraph" w:styleId="a4">
    <w:name w:val="footer"/>
    <w:basedOn w:val="a"/>
    <w:next w:val="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index 9"/>
    <w:basedOn w:val="a"/>
    <w:next w:val="a"/>
    <w:qFormat/>
    <w:pPr>
      <w:ind w:left="336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1"/>
    <w:basedOn w:val="a"/>
    <w:next w:val="a"/>
    <w:semiHidden/>
    <w:qFormat/>
    <w:pPr>
      <w:snapToGrid w:val="0"/>
      <w:spacing w:line="640" w:lineRule="exact"/>
      <w:ind w:firstLine="705"/>
      <w:textAlignment w:val="baseline"/>
    </w:pPr>
    <w:rPr>
      <w:rFonts w:ascii="仿宋_GB2312" w:eastAsia="仿宋_GB2312" w:hAnsi="Times New Roman" w:cs="Times New Roman"/>
      <w:color w:val="000000"/>
      <w:kern w:val="0"/>
      <w:sz w:val="36"/>
      <w:szCs w:val="36"/>
    </w:rPr>
  </w:style>
  <w:style w:type="paragraph" w:customStyle="1" w:styleId="208521">
    <w:name w:val="样式 样式 左侧:  2 字符 + 左侧:  0.85 厘米 首行缩进:  2 字符1"/>
    <w:basedOn w:val="a"/>
    <w:qFormat/>
    <w:pPr>
      <w:ind w:left="482" w:firstLineChars="200" w:firstLine="200"/>
    </w:pPr>
    <w:rPr>
      <w:rFonts w:cs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1146</Words>
  <Characters>169</Characters>
  <Application>Microsoft Office Word</Application>
  <DocSecurity>0</DocSecurity>
  <Lines>1</Lines>
  <Paragraphs>2</Paragraphs>
  <ScaleCrop>false</ScaleCrop>
  <Company>神州网信技术有限公司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6</cp:revision>
  <cp:lastPrinted>2023-05-25T05:52:00Z</cp:lastPrinted>
  <dcterms:created xsi:type="dcterms:W3CDTF">2023-05-30T07:43:00Z</dcterms:created>
  <dcterms:modified xsi:type="dcterms:W3CDTF">2023-08-30T08:39:00Z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