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w:t>
      </w:r>
      <w:r>
        <w:rPr>
          <w:rFonts w:hint="eastAsia" w:ascii="方正小标宋_GBK" w:hAnsi="方正小标宋_GBK" w:eastAsia="方正小标宋_GBK" w:cs="方正小标宋_GBK"/>
          <w:sz w:val="44"/>
          <w:szCs w:val="44"/>
          <w:lang w:val="en-US" w:eastAsia="zh-CN"/>
        </w:rPr>
        <w:t>和宣布失效的行政规范性</w:t>
      </w:r>
      <w:r>
        <w:rPr>
          <w:rFonts w:hint="eastAsia" w:ascii="方正小标宋_GBK" w:hAnsi="方正小标宋_GBK" w:eastAsia="方正小标宋_GBK" w:cs="方正小标宋_GBK"/>
          <w:sz w:val="44"/>
          <w:szCs w:val="44"/>
        </w:rPr>
        <w:t>文件目录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28"/>
          <w:szCs w:val="28"/>
        </w:rPr>
      </w:pPr>
    </w:p>
    <w:tbl>
      <w:tblPr>
        <w:tblStyle w:val="4"/>
        <w:tblW w:w="1440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4188"/>
        <w:gridCol w:w="2500"/>
        <w:gridCol w:w="2010"/>
        <w:gridCol w:w="1410"/>
        <w:gridCol w:w="1260"/>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72" w:type="dxa"/>
            <w:noWrap w:val="0"/>
            <w:vAlign w:val="center"/>
          </w:tcPr>
          <w:p>
            <w:pPr>
              <w:widowControl/>
              <w:jc w:val="center"/>
              <w:textAlignment w:val="center"/>
              <w:rPr>
                <w:rFonts w:ascii="仿宋_GB2312" w:hAnsi="仿宋_GB2312" w:cs="仿宋_GB2312"/>
                <w:b/>
                <w:bCs/>
                <w:sz w:val="21"/>
                <w:szCs w:val="21"/>
              </w:rPr>
            </w:pPr>
            <w:r>
              <w:rPr>
                <w:rFonts w:hint="eastAsia" w:ascii="宋体" w:hAnsi="宋体" w:eastAsia="宋体" w:cs="宋体"/>
                <w:b/>
                <w:color w:val="000000"/>
                <w:kern w:val="0"/>
                <w:sz w:val="21"/>
                <w:szCs w:val="21"/>
                <w:lang w:bidi="ar"/>
              </w:rPr>
              <w:t>序号</w:t>
            </w:r>
          </w:p>
        </w:tc>
        <w:tc>
          <w:tcPr>
            <w:tcW w:w="4188" w:type="dxa"/>
            <w:noWrap w:val="0"/>
            <w:vAlign w:val="center"/>
          </w:tcPr>
          <w:p>
            <w:pPr>
              <w:widowControl/>
              <w:jc w:val="center"/>
              <w:textAlignment w:val="center"/>
              <w:rPr>
                <w:rFonts w:ascii="仿宋_GB2312" w:hAnsi="仿宋_GB2312" w:cs="仿宋_GB2312"/>
                <w:b/>
                <w:bCs/>
                <w:sz w:val="21"/>
                <w:szCs w:val="21"/>
              </w:rPr>
            </w:pPr>
            <w:r>
              <w:rPr>
                <w:rFonts w:hint="eastAsia" w:ascii="宋体" w:hAnsi="宋体" w:eastAsia="宋体" w:cs="宋体"/>
                <w:b/>
                <w:color w:val="000000"/>
                <w:kern w:val="0"/>
                <w:sz w:val="21"/>
                <w:szCs w:val="21"/>
                <w:lang w:bidi="ar"/>
              </w:rPr>
              <w:t>文件标题</w:t>
            </w:r>
          </w:p>
        </w:tc>
        <w:tc>
          <w:tcPr>
            <w:tcW w:w="2500" w:type="dxa"/>
            <w:noWrap w:val="0"/>
            <w:vAlign w:val="center"/>
          </w:tcPr>
          <w:p>
            <w:pPr>
              <w:widowControl/>
              <w:jc w:val="center"/>
              <w:textAlignment w:val="center"/>
              <w:rPr>
                <w:rFonts w:ascii="仿宋_GB2312" w:hAnsi="仿宋_GB2312" w:cs="仿宋_GB2312"/>
                <w:b/>
                <w:bCs/>
                <w:sz w:val="21"/>
                <w:szCs w:val="21"/>
              </w:rPr>
            </w:pPr>
            <w:r>
              <w:rPr>
                <w:rFonts w:hint="eastAsia" w:ascii="宋体" w:hAnsi="宋体" w:eastAsia="宋体" w:cs="宋体"/>
                <w:b/>
                <w:color w:val="000000"/>
                <w:kern w:val="0"/>
                <w:sz w:val="21"/>
                <w:szCs w:val="21"/>
                <w:lang w:bidi="ar"/>
              </w:rPr>
              <w:t>文件文号</w:t>
            </w:r>
          </w:p>
        </w:tc>
        <w:tc>
          <w:tcPr>
            <w:tcW w:w="2010" w:type="dxa"/>
            <w:noWrap w:val="0"/>
            <w:vAlign w:val="center"/>
          </w:tcPr>
          <w:p>
            <w:pPr>
              <w:widowControl/>
              <w:jc w:val="center"/>
              <w:textAlignment w:val="center"/>
              <w:rPr>
                <w:rFonts w:ascii="仿宋_GB2312" w:hAnsi="仿宋_GB2312" w:cs="仿宋_GB2312"/>
                <w:b/>
                <w:bCs/>
                <w:sz w:val="21"/>
                <w:szCs w:val="21"/>
              </w:rPr>
            </w:pPr>
            <w:r>
              <w:rPr>
                <w:rFonts w:hint="eastAsia" w:ascii="宋体" w:hAnsi="宋体" w:eastAsia="宋体" w:cs="宋体"/>
                <w:b/>
                <w:color w:val="000000"/>
                <w:kern w:val="0"/>
                <w:sz w:val="21"/>
                <w:szCs w:val="21"/>
                <w:lang w:bidi="ar"/>
              </w:rPr>
              <w:t>统一登记号</w:t>
            </w:r>
          </w:p>
        </w:tc>
        <w:tc>
          <w:tcPr>
            <w:tcW w:w="1410" w:type="dxa"/>
            <w:noWrap w:val="0"/>
            <w:vAlign w:val="center"/>
          </w:tcPr>
          <w:p>
            <w:pPr>
              <w:widowControl/>
              <w:jc w:val="center"/>
              <w:textAlignment w:val="center"/>
              <w:rPr>
                <w:rFonts w:ascii="仿宋_GB2312" w:hAnsi="仿宋_GB2312" w:cs="仿宋_GB2312"/>
                <w:b/>
                <w:bCs/>
                <w:sz w:val="21"/>
                <w:szCs w:val="21"/>
              </w:rPr>
            </w:pPr>
            <w:r>
              <w:rPr>
                <w:rFonts w:hint="eastAsia" w:ascii="宋体" w:hAnsi="宋体" w:eastAsia="宋体" w:cs="宋体"/>
                <w:b/>
                <w:color w:val="000000"/>
                <w:kern w:val="0"/>
                <w:sz w:val="21"/>
                <w:szCs w:val="21"/>
                <w:lang w:bidi="ar"/>
              </w:rPr>
              <w:t>公布时间</w:t>
            </w:r>
          </w:p>
        </w:tc>
        <w:tc>
          <w:tcPr>
            <w:tcW w:w="1260" w:type="dxa"/>
            <w:noWrap w:val="0"/>
            <w:vAlign w:val="center"/>
          </w:tcPr>
          <w:p>
            <w:pPr>
              <w:widowControl/>
              <w:jc w:val="center"/>
              <w:textAlignment w:val="center"/>
              <w:rPr>
                <w:rFonts w:hint="eastAsia" w:ascii="仿宋_GB2312" w:hAnsi="仿宋_GB2312" w:cs="仿宋_GB2312"/>
                <w:b/>
                <w:bCs/>
                <w:sz w:val="21"/>
                <w:szCs w:val="21"/>
              </w:rPr>
            </w:pPr>
            <w:r>
              <w:rPr>
                <w:rFonts w:hint="eastAsia" w:ascii="宋体" w:hAnsi="宋体" w:eastAsia="宋体" w:cs="宋体"/>
                <w:b/>
                <w:color w:val="000000"/>
                <w:kern w:val="0"/>
                <w:sz w:val="21"/>
                <w:szCs w:val="21"/>
                <w:lang w:bidi="ar"/>
              </w:rPr>
              <w:t>实施时间</w:t>
            </w:r>
          </w:p>
        </w:tc>
        <w:tc>
          <w:tcPr>
            <w:tcW w:w="1430" w:type="dxa"/>
            <w:noWrap w:val="0"/>
            <w:vAlign w:val="center"/>
          </w:tcPr>
          <w:p>
            <w:pPr>
              <w:widowControl/>
              <w:jc w:val="center"/>
              <w:textAlignment w:val="center"/>
              <w:rPr>
                <w:rFonts w:ascii="仿宋_GB2312" w:hAnsi="仿宋_GB2312" w:cs="仿宋_GB2312"/>
                <w:b/>
                <w:bCs/>
                <w:sz w:val="21"/>
                <w:szCs w:val="21"/>
              </w:rPr>
            </w:pPr>
            <w:r>
              <w:rPr>
                <w:rFonts w:hint="eastAsia" w:ascii="宋体" w:hAnsi="宋体" w:eastAsia="宋体" w:cs="宋体"/>
                <w:b/>
                <w:color w:val="000000"/>
                <w:kern w:val="0"/>
                <w:sz w:val="21"/>
                <w:szCs w:val="21"/>
                <w:lang w:bidi="ar"/>
              </w:rPr>
              <w:t>有效期限</w:t>
            </w:r>
          </w:p>
        </w:tc>
        <w:tc>
          <w:tcPr>
            <w:tcW w:w="1030" w:type="dxa"/>
            <w:noWrap w:val="0"/>
            <w:vAlign w:val="center"/>
          </w:tcPr>
          <w:p>
            <w:pPr>
              <w:widowControl/>
              <w:jc w:val="center"/>
              <w:textAlignment w:val="center"/>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72"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4188" w:type="dxa"/>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关于明确“共享员工”缴纳社会保险有关问题的通知</w:t>
            </w:r>
          </w:p>
        </w:tc>
        <w:tc>
          <w:tcPr>
            <w:tcW w:w="250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青人社规〔2020〕5号</w:t>
            </w:r>
          </w:p>
        </w:tc>
        <w:tc>
          <w:tcPr>
            <w:tcW w:w="201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QDCR-2020-0110005</w:t>
            </w:r>
          </w:p>
        </w:tc>
        <w:tc>
          <w:tcPr>
            <w:tcW w:w="141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2020/6/23</w:t>
            </w:r>
          </w:p>
        </w:tc>
        <w:tc>
          <w:tcPr>
            <w:tcW w:w="126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2020/8/1</w:t>
            </w:r>
          </w:p>
        </w:tc>
        <w:tc>
          <w:tcPr>
            <w:tcW w:w="143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2025/7/31</w:t>
            </w:r>
          </w:p>
        </w:tc>
        <w:tc>
          <w:tcPr>
            <w:tcW w:w="1030" w:type="dxa"/>
            <w:noWrap w:val="0"/>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72"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w:t>
            </w:r>
          </w:p>
        </w:tc>
        <w:tc>
          <w:tcPr>
            <w:tcW w:w="4188" w:type="dxa"/>
            <w:noWrap w:val="0"/>
            <w:vAlign w:val="center"/>
          </w:tcPr>
          <w:p>
            <w:pPr>
              <w:widowControl/>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关于印发《青岛市创业带动就业扶持资金管理暂行办法》的通知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青人社规〔2019〕13号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QDCR-2019-0110013</w:t>
            </w:r>
          </w:p>
        </w:tc>
        <w:tc>
          <w:tcPr>
            <w:tcW w:w="1410" w:type="dxa"/>
            <w:noWrap w:val="0"/>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2019/6/20</w:t>
            </w:r>
          </w:p>
        </w:tc>
        <w:tc>
          <w:tcPr>
            <w:tcW w:w="126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2019/7/20</w:t>
            </w:r>
          </w:p>
        </w:tc>
        <w:tc>
          <w:tcPr>
            <w:tcW w:w="1430" w:type="dxa"/>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72"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w:t>
            </w:r>
          </w:p>
        </w:tc>
        <w:tc>
          <w:tcPr>
            <w:tcW w:w="4188" w:type="dxa"/>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关于转发《山东省人力资源和社会保障厅  山东省财政厅&lt;关于印发山东省劳动能力鉴定费管理试行办法&gt;的通知》的通知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青人社规〔2019〕4号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QDCR-2019-0110004</w:t>
            </w:r>
          </w:p>
        </w:tc>
        <w:tc>
          <w:tcPr>
            <w:tcW w:w="1410" w:type="dxa"/>
            <w:noWrap w:val="0"/>
            <w:vAlign w:val="center"/>
          </w:tcPr>
          <w:p>
            <w:pPr>
              <w:widowControl/>
              <w:jc w:val="center"/>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2019/1/28</w:t>
            </w:r>
          </w:p>
        </w:tc>
        <w:tc>
          <w:tcPr>
            <w:tcW w:w="126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2019/1/28</w:t>
            </w:r>
          </w:p>
        </w:tc>
        <w:tc>
          <w:tcPr>
            <w:tcW w:w="143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w:t>
            </w:r>
          </w:p>
        </w:tc>
        <w:tc>
          <w:tcPr>
            <w:tcW w:w="4188" w:type="dxa"/>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关于实施技工院校新旧动能转换技能人才培养奖补工作的通知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青人社规〔2018〕19号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QDCR-2018-012019</w:t>
            </w:r>
          </w:p>
        </w:tc>
        <w:tc>
          <w:tcPr>
            <w:tcW w:w="14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2018/10/29</w:t>
            </w:r>
          </w:p>
        </w:tc>
        <w:tc>
          <w:tcPr>
            <w:tcW w:w="126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2019/1/1</w:t>
            </w:r>
          </w:p>
        </w:tc>
        <w:tc>
          <w:tcPr>
            <w:tcW w:w="143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w:t>
            </w:r>
          </w:p>
        </w:tc>
        <w:tc>
          <w:tcPr>
            <w:tcW w:w="4188" w:type="dxa"/>
            <w:noWrap w:val="0"/>
            <w:vAlign w:val="top"/>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关于印发《青岛市长期护理保险定点护理服务机构考核办法(试行)》的通知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青人社规〔2018〕12号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QDCR-2018-012012</w:t>
            </w:r>
          </w:p>
        </w:tc>
        <w:tc>
          <w:tcPr>
            <w:tcW w:w="14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2018/5/30</w:t>
            </w:r>
          </w:p>
        </w:tc>
        <w:tc>
          <w:tcPr>
            <w:tcW w:w="126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2018/5/30</w:t>
            </w:r>
          </w:p>
        </w:tc>
        <w:tc>
          <w:tcPr>
            <w:tcW w:w="143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2020/3/31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w:t>
            </w:r>
          </w:p>
        </w:tc>
        <w:tc>
          <w:tcPr>
            <w:tcW w:w="4188" w:type="dxa"/>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关于印发《青岛市社会医疗保险社区定点医疗机构考核办法(试行)》的通知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青人社规〔2018〕11号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 QDCR-2018-012011</w:t>
            </w:r>
          </w:p>
        </w:tc>
        <w:tc>
          <w:tcPr>
            <w:tcW w:w="14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2018-05-30</w:t>
            </w:r>
          </w:p>
        </w:tc>
        <w:tc>
          <w:tcPr>
            <w:tcW w:w="126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2018/5/30</w:t>
            </w:r>
          </w:p>
        </w:tc>
        <w:tc>
          <w:tcPr>
            <w:tcW w:w="143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2020/3/31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7</w:t>
            </w:r>
          </w:p>
        </w:tc>
        <w:tc>
          <w:tcPr>
            <w:tcW w:w="4188" w:type="dxa"/>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关于印发《〈青岛市积分落户办法〉实施细则》的通知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青人社规〔2018〕10号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QDCR-2018-012010</w:t>
            </w:r>
          </w:p>
        </w:tc>
        <w:tc>
          <w:tcPr>
            <w:tcW w:w="14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2018-05-18</w:t>
            </w:r>
          </w:p>
        </w:tc>
        <w:tc>
          <w:tcPr>
            <w:tcW w:w="126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2018/6/18</w:t>
            </w:r>
          </w:p>
        </w:tc>
        <w:tc>
          <w:tcPr>
            <w:tcW w:w="143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72" w:type="dxa"/>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188" w:type="dxa"/>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关于助推新旧动能转换进一步明确就业创业政策有关问题的通知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青人社规〔2018〕8号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QDCR-2018-012008</w:t>
            </w:r>
          </w:p>
        </w:tc>
        <w:tc>
          <w:tcPr>
            <w:tcW w:w="14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2018/5/17</w:t>
            </w:r>
          </w:p>
        </w:tc>
        <w:tc>
          <w:tcPr>
            <w:tcW w:w="126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2018/6/17</w:t>
            </w:r>
          </w:p>
        </w:tc>
        <w:tc>
          <w:tcPr>
            <w:tcW w:w="143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9</w:t>
            </w:r>
          </w:p>
        </w:tc>
        <w:tc>
          <w:tcPr>
            <w:tcW w:w="4188" w:type="dxa"/>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关于印发《青岛市长期护理保险定点护理服务机构协议管理办法》的通知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青人社规〔2018〕5号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QDCR-2018-012005</w:t>
            </w:r>
          </w:p>
        </w:tc>
        <w:tc>
          <w:tcPr>
            <w:tcW w:w="14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2018/3/15</w:t>
            </w:r>
          </w:p>
        </w:tc>
        <w:tc>
          <w:tcPr>
            <w:tcW w:w="126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2018/4/1</w:t>
            </w:r>
          </w:p>
        </w:tc>
        <w:tc>
          <w:tcPr>
            <w:tcW w:w="143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2020/3/31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10</w:t>
            </w:r>
          </w:p>
        </w:tc>
        <w:tc>
          <w:tcPr>
            <w:tcW w:w="4188" w:type="dxa"/>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关于实施《青岛市长期护理保险暂行办法》有关问题的通知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青人社规〔2018〕4号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QDCR-2018-012004</w:t>
            </w:r>
          </w:p>
        </w:tc>
        <w:tc>
          <w:tcPr>
            <w:tcW w:w="14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2018/3/15</w:t>
            </w:r>
          </w:p>
        </w:tc>
        <w:tc>
          <w:tcPr>
            <w:tcW w:w="126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2018/4/1</w:t>
            </w:r>
          </w:p>
        </w:tc>
        <w:tc>
          <w:tcPr>
            <w:tcW w:w="143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2020/3/31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11</w:t>
            </w:r>
          </w:p>
        </w:tc>
        <w:tc>
          <w:tcPr>
            <w:tcW w:w="4188" w:type="dxa"/>
            <w:noWrap w:val="0"/>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关于印发《青岛市长期照护需求等级评估实施办法》的通知</w:t>
            </w:r>
          </w:p>
        </w:tc>
        <w:tc>
          <w:tcPr>
            <w:tcW w:w="250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青人社规〔2018〕3号</w:t>
            </w:r>
          </w:p>
        </w:tc>
        <w:tc>
          <w:tcPr>
            <w:tcW w:w="20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QDCR-2018-012003</w:t>
            </w:r>
          </w:p>
        </w:tc>
        <w:tc>
          <w:tcPr>
            <w:tcW w:w="141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2018/3/15</w:t>
            </w:r>
          </w:p>
        </w:tc>
        <w:tc>
          <w:tcPr>
            <w:tcW w:w="126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2018/4/1</w:t>
            </w:r>
          </w:p>
        </w:tc>
        <w:tc>
          <w:tcPr>
            <w:tcW w:w="1430" w:type="dxa"/>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2020/3/31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12</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关于做好消防安全专业民办职业培训学校审批有关工作的通知</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青人社规〔2017〕10号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QDCR-2017-012010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2017/9/2</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2017/10/1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2020/9/9</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13</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关于做好劳动预备制培训人员生活费补贴发放工作有关问题的通知</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青人社规〔2017〕9号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QDCR-2017-012009</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2017/8/9</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2017/9/10</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2020/9/9</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14</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关于做好家庭服务业从业人员技能培训工作有关问题的通知</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青人社规〔2017〕8号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QDCR-2017-012008</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2017/8/2</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2017/9/15</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15</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关于实施青岛市大学生创业培育“海鸥行动”有关问题的通知</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青人社规〔2017〕5号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QDCR-2017-012005</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2017/5/16</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2017/6/17</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2020/6/17</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16</w:t>
            </w:r>
          </w:p>
        </w:tc>
        <w:tc>
          <w:tcPr>
            <w:tcW w:w="4188" w:type="dxa"/>
            <w:noWrap w:val="0"/>
            <w:vAlign w:val="center"/>
          </w:tcPr>
          <w:p>
            <w:pPr>
              <w:widowControl/>
              <w:spacing w:line="240" w:lineRule="exact"/>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关于印发《青岛市技工院校学生资助资金风险防控办法》的通知</w:t>
            </w:r>
          </w:p>
        </w:tc>
        <w:tc>
          <w:tcPr>
            <w:tcW w:w="2500" w:type="dxa"/>
            <w:noWrap w:val="0"/>
            <w:vAlign w:val="center"/>
          </w:tcPr>
          <w:p>
            <w:pPr>
              <w:widowControl/>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青人社办字〔2017〕196号</w:t>
            </w:r>
          </w:p>
        </w:tc>
        <w:tc>
          <w:tcPr>
            <w:tcW w:w="2010" w:type="dxa"/>
            <w:noWrap w:val="0"/>
            <w:vAlign w:val="center"/>
          </w:tcPr>
          <w:p>
            <w:pPr>
              <w:spacing w:line="240" w:lineRule="exact"/>
              <w:jc w:val="center"/>
              <w:rPr>
                <w:rFonts w:hint="eastAsia" w:ascii="宋体" w:hAnsi="宋体" w:eastAsia="宋体" w:cs="宋体"/>
                <w:kern w:val="2"/>
                <w:sz w:val="21"/>
                <w:szCs w:val="21"/>
                <w:lang w:val="en-US" w:eastAsia="zh-CN" w:bidi="ar-SA"/>
              </w:rPr>
            </w:pPr>
          </w:p>
        </w:tc>
        <w:tc>
          <w:tcPr>
            <w:tcW w:w="1410" w:type="dxa"/>
            <w:noWrap w:val="0"/>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2017/12/1</w:t>
            </w:r>
          </w:p>
        </w:tc>
        <w:tc>
          <w:tcPr>
            <w:tcW w:w="1260" w:type="dxa"/>
            <w:noWrap w:val="0"/>
            <w:vAlign w:val="center"/>
          </w:tcPr>
          <w:p>
            <w:pPr>
              <w:spacing w:line="240" w:lineRule="exac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w:t>
            </w:r>
            <w:r>
              <w:rPr>
                <w:rFonts w:hint="eastAsia" w:ascii="宋体" w:hAnsi="宋体" w:eastAsia="宋体" w:cs="宋体"/>
                <w:color w:val="000000"/>
                <w:kern w:val="0"/>
                <w:sz w:val="21"/>
                <w:szCs w:val="21"/>
                <w:lang w:val="en-US" w:eastAsia="zh-CN" w:bidi="ar"/>
              </w:rPr>
              <w:t>17</w:t>
            </w:r>
            <w:r>
              <w:rPr>
                <w:rFonts w:hint="eastAsia" w:ascii="宋体" w:hAnsi="宋体" w:eastAsia="宋体" w:cs="宋体"/>
                <w:color w:val="000000"/>
                <w:kern w:val="0"/>
                <w:sz w:val="21"/>
                <w:szCs w:val="21"/>
                <w:lang w:bidi="ar"/>
              </w:rPr>
              <w:t>/12/1</w:t>
            </w:r>
          </w:p>
        </w:tc>
        <w:tc>
          <w:tcPr>
            <w:tcW w:w="1430" w:type="dxa"/>
            <w:noWrap w:val="0"/>
            <w:vAlign w:val="center"/>
          </w:tcPr>
          <w:p>
            <w:pPr>
              <w:widowControl/>
              <w:spacing w:line="240" w:lineRule="exact"/>
              <w:jc w:val="center"/>
              <w:textAlignment w:val="center"/>
              <w:rPr>
                <w:rFonts w:hint="eastAsia" w:ascii="宋体" w:hAnsi="宋体" w:eastAsia="宋体" w:cs="宋体"/>
                <w:kern w:val="2"/>
                <w:sz w:val="21"/>
                <w:szCs w:val="21"/>
                <w:lang w:val="en-US" w:eastAsia="zh-CN" w:bidi="ar-SA"/>
              </w:rPr>
            </w:pP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17</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关于印发《青岛市引进培养的顶尖人才认定和奖励资助实施细则（试行）》的通知</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青人社字〔2017〕30号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2017/8/10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2017/8/10</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2019/12/31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18</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关于印发《青岛市居民基本养老保险经办规程》的通知</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青人社字〔2016〕89号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QDCR-2016-012018</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2016/12/30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2017/1/1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关于印发《青岛市博士后培养留青计划实施意见》的通知</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青人社发〔2016〕34号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QDCR-2016-012015</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2016/12/13</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2016/1/3</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关于就业困难人员认定管理有关问题的通知</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青人社办发〔2016〕4号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QDCR-2016-012005</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2016/6/15</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2016/7/13</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21</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关于公益性岗位从业人员实行商业综合保险补贴有关问题的通知（青劳社〔20</w:t>
            </w:r>
            <w:r>
              <w:rPr>
                <w:rFonts w:hint="eastAsia" w:ascii="宋体" w:hAnsi="宋体" w:eastAsia="宋体" w:cs="宋体"/>
                <w:color w:val="000000"/>
                <w:kern w:val="0"/>
                <w:sz w:val="21"/>
                <w:szCs w:val="21"/>
                <w:lang w:val="en-US" w:eastAsia="zh-CN" w:bidi="ar"/>
              </w:rPr>
              <w:t>08</w:t>
            </w:r>
            <w:r>
              <w:rPr>
                <w:rFonts w:hint="eastAsia" w:ascii="宋体" w:hAnsi="宋体" w:eastAsia="宋体" w:cs="宋体"/>
                <w:color w:val="000000"/>
                <w:kern w:val="0"/>
                <w:sz w:val="21"/>
                <w:szCs w:val="21"/>
                <w:lang w:bidi="ar"/>
              </w:rPr>
              <w:t>〕131号）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22</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关于进一步做好创业培训工作有关问题的通知（青人社字〔201</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〕108号）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23</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关于转发山东省人力资源和社会保障厅、财政厅《关于做好新农保与原农保制度衔接有关问题的通知》的通知（青人社字〔201</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〕11号）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24</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关于印发《青岛市就业失业登记管理暂行办法》的通知（青劳社〔20</w:t>
            </w:r>
            <w:r>
              <w:rPr>
                <w:rFonts w:hint="eastAsia" w:ascii="宋体" w:hAnsi="宋体" w:eastAsia="宋体" w:cs="宋体"/>
                <w:color w:val="000000"/>
                <w:kern w:val="0"/>
                <w:sz w:val="21"/>
                <w:szCs w:val="21"/>
                <w:lang w:val="en-US" w:eastAsia="zh-CN" w:bidi="ar"/>
              </w:rPr>
              <w:t>09</w:t>
            </w:r>
            <w:r>
              <w:rPr>
                <w:rFonts w:hint="eastAsia" w:ascii="宋体" w:hAnsi="宋体" w:eastAsia="宋体" w:cs="宋体"/>
                <w:color w:val="000000"/>
                <w:kern w:val="0"/>
                <w:sz w:val="21"/>
                <w:szCs w:val="21"/>
                <w:lang w:bidi="ar"/>
              </w:rPr>
              <w:t xml:space="preserve">〕121号）  </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25</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关于印发青岛市城乡居民社会基本养老保险经办规程（试行）的通知（青人社字〔2010〕61号）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26</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关于建立青岛籍未就业高校毕业生就业见习培训制度的通知（青人办发〔20</w:t>
            </w:r>
            <w:r>
              <w:rPr>
                <w:rFonts w:hint="eastAsia" w:ascii="宋体" w:hAnsi="宋体" w:eastAsia="宋体" w:cs="宋体"/>
                <w:color w:val="000000"/>
                <w:kern w:val="0"/>
                <w:sz w:val="21"/>
                <w:szCs w:val="21"/>
                <w:lang w:val="en-US" w:eastAsia="zh-CN" w:bidi="ar"/>
              </w:rPr>
              <w:t>08</w:t>
            </w:r>
            <w:r>
              <w:rPr>
                <w:rFonts w:hint="eastAsia" w:ascii="宋体" w:hAnsi="宋体" w:eastAsia="宋体" w:cs="宋体"/>
                <w:color w:val="000000"/>
                <w:kern w:val="0"/>
                <w:sz w:val="21"/>
                <w:szCs w:val="21"/>
                <w:lang w:bidi="ar"/>
              </w:rPr>
              <w:t>〕3号）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27</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关于建立青岛籍未就业高校毕业生就业见习培训制度的补充规定（青人办发〔20</w:t>
            </w:r>
            <w:r>
              <w:rPr>
                <w:rFonts w:hint="eastAsia" w:ascii="宋体" w:hAnsi="宋体" w:eastAsia="宋体" w:cs="宋体"/>
                <w:color w:val="000000"/>
                <w:kern w:val="0"/>
                <w:sz w:val="21"/>
                <w:szCs w:val="21"/>
                <w:lang w:val="en-US" w:eastAsia="zh-CN" w:bidi="ar"/>
              </w:rPr>
              <w:t>09</w:t>
            </w:r>
            <w:r>
              <w:rPr>
                <w:rFonts w:hint="eastAsia" w:ascii="宋体" w:hAnsi="宋体" w:eastAsia="宋体" w:cs="宋体"/>
                <w:color w:val="000000"/>
                <w:kern w:val="0"/>
                <w:sz w:val="21"/>
                <w:szCs w:val="21"/>
                <w:lang w:bidi="ar"/>
              </w:rPr>
              <w:t>〕81号）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28</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关于做好灵活就业人员公共就业服务工作有关问题的通知（青人社字〔201</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〕137号）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29</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关于印发《青岛市公益性岗位管理暂行办法实施细则》的通知（青劳社〔2009〕162号）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30</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关于印发青岛市街道（镇）和社区劳动关系协调工作规程的通知（青人社办发〔201</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〕24号）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31</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关于做好企业改制劳动关系调整和人员分流安置方案审核工作的通知（青劳社〔2003〕150号）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32</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关于贯彻执行青岛市人民政府办公厅《关于做好特困家庭毕业生就业工作的通知》有关问题的通知（青人办发〔20</w:t>
            </w:r>
            <w:r>
              <w:rPr>
                <w:rFonts w:hint="eastAsia" w:ascii="宋体" w:hAnsi="宋体" w:eastAsia="宋体" w:cs="宋体"/>
                <w:color w:val="000000"/>
                <w:kern w:val="0"/>
                <w:sz w:val="21"/>
                <w:szCs w:val="21"/>
                <w:lang w:val="en-US" w:eastAsia="zh-CN" w:bidi="ar"/>
              </w:rPr>
              <w:t>08</w:t>
            </w:r>
            <w:r>
              <w:rPr>
                <w:rFonts w:hint="eastAsia" w:ascii="宋体" w:hAnsi="宋体" w:eastAsia="宋体" w:cs="宋体"/>
                <w:color w:val="000000"/>
                <w:kern w:val="0"/>
                <w:sz w:val="21"/>
                <w:szCs w:val="21"/>
                <w:lang w:bidi="ar"/>
              </w:rPr>
              <w:t>〕170号）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33</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关于加强我市用人单位接收高校毕业生就业管理的通知（青人社字〔2010〕130号）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34</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关于贯彻《青岛市城镇职工生育保险办法》有关问题的通知（青劳社〔20</w:t>
            </w:r>
            <w:r>
              <w:rPr>
                <w:rFonts w:hint="eastAsia" w:ascii="宋体" w:hAnsi="宋体" w:eastAsia="宋体" w:cs="宋体"/>
                <w:color w:val="000000"/>
                <w:kern w:val="0"/>
                <w:sz w:val="21"/>
                <w:szCs w:val="21"/>
                <w:lang w:val="en-US" w:eastAsia="zh-CN" w:bidi="ar"/>
              </w:rPr>
              <w:t>08</w:t>
            </w:r>
            <w:r>
              <w:rPr>
                <w:rFonts w:hint="eastAsia" w:ascii="宋体" w:hAnsi="宋体" w:eastAsia="宋体" w:cs="宋体"/>
                <w:color w:val="000000"/>
                <w:kern w:val="0"/>
                <w:sz w:val="21"/>
                <w:szCs w:val="21"/>
                <w:lang w:bidi="ar"/>
              </w:rPr>
              <w:t>〕25号）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35</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关于贯彻《青岛市工伤保险市级统筹实施方案》的实施意见（青人社发〔2010〕14号）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36</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关于贯彻青岛市生育保险市级统筹实施方案的实施意见（青人社发〔2010〕16号）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青人社办字〔2015〕226号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QDCR-2015-012012</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2015/11/20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37</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关于对工伤尘肺病实行定额结算的通知（青劳社办〔2006〕52号）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青人社办字〔2015〕187号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QDCR-2015-012011</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2015/9/10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38</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关于对工伤骨折内固定材料取出术实行定额结算的通知（青劳社办〔2007〕97号）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青人社办字〔2015〕187号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QDCR-2015-012011</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2015/9/10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39</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关于工伤职工配置辅助器具有关问题的通知（青人社办发〔2010〕10号）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青人社办字〔2015〕187号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QDCR-2015-012011</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2015/9/10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40</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关于贯彻《青岛市工伤保险市级统筹实施方案》的实施意见（青人社发〔2010〕14号）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青人社办字〔2015〕187号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QDCR-2015-012011</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2015/9/10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41</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关于转发劳动和社会保障部《因工死亡职工供养亲属范围规定》的通知（青劳社〔2003〕167号）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青人社办字〔2015〕187号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QDCR-2015-012011</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2015/9/10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42</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关于社会保险参保缴费有关问题的通知（青人社发〔2011〕27号）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青人社办字〔2015〕187号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QDCR-2015-012011</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2015/9/10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43</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关于城镇企业及其职工、城镇个体经济组织从业人员及自由职业者补缴社会保险费有关问题的通知(青劳社办〔2003〕161号)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青人社办字〔2015〕187号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QDCR-2015-012011</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2015/9/10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44</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关于印发青岛市劳动用工网上登记办法的通知（青人社办发〔2010〕26号）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45</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关于就业失业登记证发放管理有关问题的通知（青人社字〔2011〕85号）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46</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关于创业培训基地认定管理有关问题的通知（青劳社〔2003〕78号）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47</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关于印发《青岛市职业技术学校学生实习备案办法》的通知（青劳社〔20</w:t>
            </w:r>
            <w:r>
              <w:rPr>
                <w:rFonts w:hint="eastAsia" w:ascii="宋体" w:hAnsi="宋体" w:eastAsia="宋体" w:cs="宋体"/>
                <w:color w:val="000000"/>
                <w:kern w:val="0"/>
                <w:sz w:val="21"/>
                <w:szCs w:val="21"/>
                <w:lang w:val="en-US" w:eastAsia="zh-CN" w:bidi="ar"/>
              </w:rPr>
              <w:t>08</w:t>
            </w:r>
            <w:r>
              <w:rPr>
                <w:rFonts w:hint="eastAsia" w:ascii="宋体" w:hAnsi="宋体" w:eastAsia="宋体" w:cs="宋体"/>
                <w:color w:val="000000"/>
                <w:kern w:val="0"/>
                <w:sz w:val="21"/>
                <w:szCs w:val="21"/>
                <w:lang w:bidi="ar"/>
              </w:rPr>
              <w:t xml:space="preserve">〕16号）  </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48</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关于当前劳动关系调整有关问题的通知（青劳〔1999〕131号）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49</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关于建立青岛市劳动力市场工资指导价位制度的通知（青劳社〔2000〕84号）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50</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关于印发《关于深化企业内部分配制度改革的指导意见》的通知（青劳社〔2000〕134号）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51</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关于印发《企业人工成本预警预报管理办法（试行）》的通知(青劳社〔2000〕135号)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52</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关于贯彻实施《青岛市企业工资指导线制度试行办法》有关问题的通知(青劳社〔2000〕168号)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53</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关于理顺当前企业劳动关系有关问题的通知(青劳社〔2000〕217号)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54</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关于理顺企业劳动关系有关问题的处理意见(青劳社〔2001〕190号)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55</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关于印发《青岛市劳动和社会保障局关于破产企业职工分流安置和费用审批工作意见》的通知（青劳社〔20</w:t>
            </w:r>
            <w:r>
              <w:rPr>
                <w:rFonts w:hint="eastAsia" w:ascii="宋体" w:hAnsi="宋体" w:eastAsia="宋体" w:cs="宋体"/>
                <w:color w:val="000000"/>
                <w:kern w:val="0"/>
                <w:sz w:val="21"/>
                <w:szCs w:val="21"/>
                <w:lang w:val="en-US" w:eastAsia="zh-CN" w:bidi="ar"/>
              </w:rPr>
              <w:t>03</w:t>
            </w:r>
            <w:r>
              <w:rPr>
                <w:rFonts w:hint="eastAsia" w:ascii="宋体" w:hAnsi="宋体" w:eastAsia="宋体" w:cs="宋体"/>
                <w:color w:val="000000"/>
                <w:kern w:val="0"/>
                <w:sz w:val="21"/>
                <w:szCs w:val="21"/>
                <w:lang w:bidi="ar"/>
              </w:rPr>
              <w:t>〕94号）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56</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关于做好企业改制劳动关系调整和人员分流安置方案审核工作的通知（青劳社〔2003〕150号）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57</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关于青劳社〔2001〕190号文有关问题的补充通知（青劳社〔2003〕156号）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58</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关于实行企业欠薪报告制度的通知(青劳社〔2004〕95号)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59</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关于实行企业执行最低工资标准报告制度的通知(青劳社〔2004〕97号)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60</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关于进一步加强未成年工特殊保护管理工作的通知（青劳社〔2006〕84号）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61</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关于加强企业工资监督管理有关问题的通知（青劳社〔2006〕120号）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62</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关于进一步规范用人单位裁减人员有关问题的意见（青劳社〔2008〕115号）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63</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关于印发搬迁企业职工安置操作规范的通知（青人社字〔2010〕195号）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72" w:type="dxa"/>
            <w:noWrap w:val="0"/>
            <w:vAlign w:val="center"/>
          </w:tcPr>
          <w:p>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64</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关于贯彻执行城镇企业职工基本养老保险关系转移接续若干具体问题意见的通知（青人社发〔2011〕5号）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72" w:type="dxa"/>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color w:val="000000"/>
                <w:kern w:val="0"/>
                <w:sz w:val="21"/>
                <w:szCs w:val="21"/>
                <w:lang w:bidi="ar"/>
              </w:rPr>
              <w:t>65</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关于印发青岛市城乡居民社会基本养老保险养老金领取资格认证管理暂行办法的通知（青人社字〔2010〕176号）</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青人社办字〔2015〕99号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QDCR-2015-012010</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2015/4/10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72" w:type="dxa"/>
            <w:noWrap w:val="0"/>
            <w:vAlign w:val="center"/>
          </w:tcPr>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4188" w:type="dxa"/>
            <w:noWrap w:val="0"/>
            <w:vAlign w:val="center"/>
          </w:tcPr>
          <w:p>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关于完善居民基本养老保险政策有关问题的通知</w:t>
            </w:r>
          </w:p>
        </w:tc>
        <w:tc>
          <w:tcPr>
            <w:tcW w:w="250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青人社发〔2015〕30号</w:t>
            </w:r>
          </w:p>
        </w:tc>
        <w:tc>
          <w:tcPr>
            <w:tcW w:w="20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QDCR-2015-012015</w:t>
            </w:r>
          </w:p>
        </w:tc>
        <w:tc>
          <w:tcPr>
            <w:tcW w:w="141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2015/11/30</w:t>
            </w:r>
          </w:p>
        </w:tc>
        <w:tc>
          <w:tcPr>
            <w:tcW w:w="126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2016/1/1</w:t>
            </w:r>
          </w:p>
        </w:tc>
        <w:tc>
          <w:tcPr>
            <w:tcW w:w="1430" w:type="dxa"/>
            <w:noWrap w:val="0"/>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bidi="ar"/>
              </w:rPr>
              <w:t>2020/12/31</w:t>
            </w:r>
          </w:p>
        </w:tc>
        <w:tc>
          <w:tcPr>
            <w:tcW w:w="1030" w:type="dxa"/>
            <w:noWrap w:val="0"/>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宣布</w:t>
            </w:r>
          </w:p>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失效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9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2021-02-03T03:07:06Z</dcterms:created>
  <dc:creator>Administrator</dc:creator>
  <cp:lastModifiedBy>相识的人</cp:lastModifiedBy>
  <dcterms:modified xsi:type="dcterms:W3CDTF">2021-02-03T03:07:27Z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368728266_btnclosed</vt:lpwstr>
  </property>
</Properties>
</file>