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B3" w:rsidRDefault="00EE1AB3">
      <w:pPr>
        <w:autoSpaceDE w:val="0"/>
        <w:autoSpaceDN w:val="0"/>
        <w:adjustRightInd w:val="0"/>
        <w:spacing w:line="453" w:lineRule="exact"/>
        <w:jc w:val="left"/>
        <w:rPr>
          <w:rFonts w:ascii="黑体" w:eastAsia="黑体" w:hAnsi="黑体" w:cs="黑体" w:hint="eastAsia"/>
          <w:color w:val="000000"/>
          <w:kern w:val="0"/>
          <w:szCs w:val="32"/>
        </w:rPr>
      </w:pPr>
      <w:proofErr w:type="gramStart"/>
      <w:r w:rsidRPr="00EE1AB3">
        <w:rPr>
          <w:rFonts w:ascii="黑体" w:eastAsia="黑体" w:hAnsi="黑体" w:cs="黑体" w:hint="eastAsia"/>
          <w:color w:val="000000"/>
          <w:kern w:val="0"/>
          <w:szCs w:val="32"/>
        </w:rPr>
        <w:t>青人社规</w:t>
      </w:r>
      <w:proofErr w:type="gramEnd"/>
      <w:r w:rsidRPr="00EE1AB3">
        <w:rPr>
          <w:rFonts w:ascii="黑体" w:eastAsia="黑体" w:hAnsi="黑体" w:cs="黑体" w:hint="eastAsia"/>
          <w:color w:val="000000"/>
          <w:kern w:val="0"/>
          <w:szCs w:val="32"/>
        </w:rPr>
        <w:t>〔</w:t>
      </w:r>
      <w:r w:rsidRPr="00EE1AB3">
        <w:rPr>
          <w:rFonts w:ascii="黑体" w:eastAsia="黑体" w:hAnsi="黑体" w:cs="黑体"/>
          <w:color w:val="000000"/>
          <w:kern w:val="0"/>
          <w:szCs w:val="32"/>
        </w:rPr>
        <w:t>202</w:t>
      </w:r>
      <w:r w:rsidRPr="00EE1AB3">
        <w:rPr>
          <w:rFonts w:ascii="黑体" w:eastAsia="黑体" w:hAnsi="黑体" w:cs="黑体" w:hint="eastAsia"/>
          <w:color w:val="000000"/>
          <w:kern w:val="0"/>
          <w:szCs w:val="32"/>
        </w:rPr>
        <w:t>1</w:t>
      </w:r>
      <w:r w:rsidRPr="00EE1AB3">
        <w:rPr>
          <w:rFonts w:ascii="黑体" w:eastAsia="黑体" w:hAnsi="黑体" w:cs="黑体" w:hint="eastAsia"/>
          <w:color w:val="000000"/>
          <w:kern w:val="0"/>
          <w:szCs w:val="32"/>
        </w:rPr>
        <w:t>〕</w:t>
      </w:r>
      <w:r w:rsidRPr="00EE1AB3">
        <w:rPr>
          <w:rFonts w:ascii="黑体" w:eastAsia="黑体" w:hAnsi="黑体" w:cs="黑体" w:hint="eastAsia"/>
          <w:color w:val="000000"/>
          <w:kern w:val="0"/>
          <w:szCs w:val="32"/>
        </w:rPr>
        <w:t>17</w:t>
      </w:r>
      <w:r w:rsidRPr="00EE1AB3">
        <w:rPr>
          <w:rFonts w:ascii="黑体" w:eastAsia="黑体" w:hAnsi="黑体" w:cs="黑体" w:hint="eastAsia"/>
          <w:color w:val="000000"/>
          <w:kern w:val="0"/>
          <w:szCs w:val="32"/>
        </w:rPr>
        <w:t>号</w:t>
      </w:r>
      <w:r>
        <w:rPr>
          <w:rFonts w:ascii="黑体" w:eastAsia="黑体" w:hAnsi="黑体" w:cs="黑体" w:hint="eastAsia"/>
          <w:color w:val="000000"/>
          <w:kern w:val="0"/>
          <w:szCs w:val="32"/>
        </w:rPr>
        <w:t>附件</w:t>
      </w:r>
    </w:p>
    <w:p w:rsidR="00AF5EF0" w:rsidRDefault="00915713">
      <w:pPr>
        <w:autoSpaceDE w:val="0"/>
        <w:autoSpaceDN w:val="0"/>
        <w:adjustRightInd w:val="0"/>
        <w:spacing w:line="453" w:lineRule="exact"/>
        <w:jc w:val="left"/>
        <w:rPr>
          <w:rFonts w:ascii="黑体" w:eastAsia="黑体" w:hAnsi="黑体" w:cs="黑体"/>
          <w:color w:val="000000"/>
          <w:kern w:val="0"/>
          <w:szCs w:val="32"/>
        </w:rPr>
      </w:pPr>
      <w:r>
        <w:rPr>
          <w:rFonts w:ascii="黑体" w:eastAsia="黑体" w:hAnsi="黑体" w:cs="黑体" w:hint="eastAsia"/>
          <w:color w:val="000000"/>
          <w:kern w:val="0"/>
          <w:szCs w:val="32"/>
        </w:rPr>
        <w:t>QDCR-2020-0110008</w:t>
      </w:r>
    </w:p>
    <w:p w:rsidR="00AF5EF0" w:rsidRDefault="00AF5EF0">
      <w:pPr>
        <w:tabs>
          <w:tab w:val="left" w:pos="2940"/>
        </w:tabs>
        <w:spacing w:line="500" w:lineRule="exact"/>
        <w:rPr>
          <w:kern w:val="0"/>
        </w:rPr>
      </w:pPr>
      <w:bookmarkStart w:id="0" w:name="_GoBack"/>
      <w:bookmarkEnd w:id="0"/>
    </w:p>
    <w:p w:rsidR="00AF5EF0" w:rsidRDefault="00915713">
      <w:pPr>
        <w:tabs>
          <w:tab w:val="left" w:pos="2940"/>
        </w:tabs>
        <w:spacing w:line="560" w:lineRule="exact"/>
        <w:rPr>
          <w:rStyle w:val="NormalCharacter"/>
          <w:rFonts w:ascii="黑体" w:eastAsia="黑体" w:hAnsi="仿宋_GB2312" w:cs="仿宋_GB2312"/>
          <w:szCs w:val="32"/>
        </w:rPr>
      </w:pPr>
      <w:r>
        <w:rPr>
          <w:rStyle w:val="NormalCharacter"/>
          <w:rFonts w:ascii="黑体" w:eastAsia="黑体" w:hAnsi="仿宋_GB2312" w:cs="仿宋_GB2312" w:hint="eastAsia"/>
          <w:szCs w:val="32"/>
        </w:rPr>
        <w:t>附件</w:t>
      </w:r>
    </w:p>
    <w:p w:rsidR="00AF5EF0" w:rsidRDefault="00AF5EF0">
      <w:pPr>
        <w:tabs>
          <w:tab w:val="left" w:pos="2940"/>
        </w:tabs>
        <w:spacing w:line="400" w:lineRule="exact"/>
        <w:rPr>
          <w:rStyle w:val="NormalCharacter"/>
          <w:rFonts w:ascii="黑体" w:eastAsia="黑体" w:hAnsi="仿宋_GB2312" w:cs="仿宋_GB2312"/>
          <w:szCs w:val="32"/>
        </w:rPr>
      </w:pPr>
    </w:p>
    <w:p w:rsidR="00AF5EF0" w:rsidRDefault="00AF5EF0">
      <w:pPr>
        <w:pStyle w:val="a6"/>
        <w:spacing w:line="560" w:lineRule="exact"/>
        <w:contextualSpacing/>
        <w:jc w:val="center"/>
        <w:rPr>
          <w:rFonts w:ascii="黑体" w:eastAsia="黑体" w:hAnsi="黑体"/>
          <w:spacing w:val="120"/>
        </w:rPr>
      </w:pPr>
    </w:p>
    <w:p w:rsidR="00AF5EF0" w:rsidRDefault="00AF5EF0">
      <w:pPr>
        <w:pStyle w:val="a6"/>
        <w:spacing w:line="560" w:lineRule="exact"/>
        <w:contextualSpacing/>
        <w:jc w:val="center"/>
        <w:rPr>
          <w:rFonts w:ascii="黑体" w:eastAsia="黑体" w:hAnsi="黑体"/>
          <w:spacing w:val="120"/>
        </w:rPr>
      </w:pPr>
    </w:p>
    <w:p w:rsidR="00AF5EF0" w:rsidRDefault="00AF5EF0">
      <w:pPr>
        <w:pStyle w:val="a6"/>
        <w:spacing w:line="560" w:lineRule="exact"/>
        <w:contextualSpacing/>
        <w:jc w:val="center"/>
        <w:rPr>
          <w:rFonts w:ascii="黑体" w:eastAsia="黑体" w:hAnsi="黑体"/>
          <w:spacing w:val="120"/>
        </w:rPr>
      </w:pPr>
    </w:p>
    <w:p w:rsidR="00AF5EF0" w:rsidRDefault="00915713">
      <w:pPr>
        <w:pStyle w:val="a6"/>
        <w:spacing w:line="560" w:lineRule="exact"/>
        <w:contextualSpacing/>
        <w:jc w:val="center"/>
        <w:rPr>
          <w:rFonts w:ascii="仿宋_GB2312" w:eastAsia="仿宋_GB2312" w:hAnsi="黑体" w:cs="仿宋_GB2312"/>
          <w:sz w:val="32"/>
          <w:szCs w:val="32"/>
        </w:rPr>
      </w:pPr>
      <w:r>
        <w:rPr>
          <w:rFonts w:ascii="黑体" w:eastAsia="黑体" w:hAnsi="黑体"/>
          <w:noProof/>
          <w:spacing w:val="120"/>
        </w:rPr>
        <mc:AlternateContent>
          <mc:Choice Requires="wpg">
            <w:drawing>
              <wp:inline distT="0" distB="0" distL="114300" distR="114300">
                <wp:extent cx="6149975" cy="2242820"/>
                <wp:effectExtent l="0" t="0" r="0" b="0"/>
                <wp:docPr id="4" name="组合 4"/>
                <wp:cNvGraphicFramePr/>
                <a:graphic xmlns:a="http://schemas.openxmlformats.org/drawingml/2006/main">
                  <a:graphicData uri="http://schemas.microsoft.com/office/word/2010/wordprocessingGroup">
                    <wpg:wgp>
                      <wpg:cNvGrpSpPr/>
                      <wpg:grpSpPr>
                        <a:xfrm>
                          <a:off x="0" y="0"/>
                          <a:ext cx="6149975" cy="2242820"/>
                          <a:chOff x="0" y="0"/>
                          <a:chExt cx="8224" cy="2581"/>
                        </a:xfrm>
                      </wpg:grpSpPr>
                      <wps:wsp>
                        <wps:cNvPr id="1" name="矩形 1"/>
                        <wps:cNvSpPr>
                          <a:spLocks noChangeAspect="1" noTextEdit="1"/>
                        </wps:cNvSpPr>
                        <wps:spPr>
                          <a:xfrm>
                            <a:off x="0" y="0"/>
                            <a:ext cx="8224" cy="2581"/>
                          </a:xfrm>
                          <a:prstGeom prst="rect">
                            <a:avLst/>
                          </a:prstGeom>
                          <a:noFill/>
                          <a:ln>
                            <a:noFill/>
                          </a:ln>
                        </wps:spPr>
                        <wps:bodyPr upright="1"/>
                      </wps:wsp>
                      <wps:wsp>
                        <wps:cNvPr id="2" name="文本框 2"/>
                        <wps:cNvSpPr txBox="1"/>
                        <wps:spPr>
                          <a:xfrm>
                            <a:off x="0" y="136"/>
                            <a:ext cx="6163" cy="2037"/>
                          </a:xfrm>
                          <a:prstGeom prst="rect">
                            <a:avLst/>
                          </a:prstGeom>
                          <a:solidFill>
                            <a:srgbClr val="FFFFFF"/>
                          </a:solidFill>
                          <a:ln>
                            <a:noFill/>
                          </a:ln>
                        </wps:spPr>
                        <wps:txbx>
                          <w:txbxContent>
                            <w:p w:rsidR="00AF5EF0" w:rsidRDefault="00915713">
                              <w:pPr>
                                <w:spacing w:line="900" w:lineRule="exact"/>
                                <w:ind w:leftChars="-50" w:left="-160" w:rightChars="50" w:right="160"/>
                                <w:jc w:val="distribute"/>
                                <w:rPr>
                                  <w:rFonts w:ascii="方正小标宋_GBK" w:eastAsia="方正小标宋_GBK" w:hAnsi="方正小标宋_GBK" w:cs="方正小标宋_GBK"/>
                                  <w:color w:val="FF0000"/>
                                  <w:spacing w:val="-120"/>
                                  <w:w w:val="90"/>
                                  <w:sz w:val="69"/>
                                </w:rPr>
                              </w:pPr>
                              <w:r>
                                <w:rPr>
                                  <w:rFonts w:ascii="方正小标宋_GBK" w:eastAsia="方正小标宋_GBK" w:hAnsi="方正小标宋_GBK" w:cs="方正小标宋_GBK" w:hint="eastAsia"/>
                                  <w:color w:val="FF0000"/>
                                  <w:spacing w:val="-120"/>
                                  <w:w w:val="90"/>
                                  <w:sz w:val="69"/>
                                </w:rPr>
                                <w:t>中共青岛市委组织部</w:t>
                              </w:r>
                            </w:p>
                            <w:p w:rsidR="00AF5EF0" w:rsidRDefault="00915713">
                              <w:pPr>
                                <w:spacing w:line="900" w:lineRule="exact"/>
                                <w:ind w:leftChars="-50" w:left="-160" w:rightChars="50" w:right="160"/>
                                <w:jc w:val="distribute"/>
                                <w:rPr>
                                  <w:rFonts w:ascii="方正小标宋_GBK" w:eastAsia="方正小标宋_GBK" w:hAnsi="方正小标宋_GBK" w:cs="方正小标宋_GBK"/>
                                  <w:color w:val="FF0000"/>
                                  <w:spacing w:val="-120"/>
                                  <w:w w:val="90"/>
                                  <w:sz w:val="69"/>
                                </w:rPr>
                              </w:pPr>
                              <w:r>
                                <w:rPr>
                                  <w:rFonts w:ascii="方正小标宋_GBK" w:eastAsia="方正小标宋_GBK" w:hAnsi="方正小标宋_GBK" w:cs="方正小标宋_GBK" w:hint="eastAsia"/>
                                  <w:color w:val="FF0000"/>
                                  <w:spacing w:val="-120"/>
                                  <w:w w:val="90"/>
                                  <w:sz w:val="69"/>
                                </w:rPr>
                                <w:t>青岛市人力资源和社会保障局</w:t>
                              </w:r>
                            </w:p>
                            <w:p w:rsidR="00AF5EF0" w:rsidRDefault="00915713">
                              <w:pPr>
                                <w:spacing w:line="900" w:lineRule="exact"/>
                                <w:ind w:leftChars="-50" w:left="-160" w:rightChars="50" w:right="160"/>
                                <w:jc w:val="distribute"/>
                                <w:rPr>
                                  <w:rFonts w:ascii="方正小标宋_GBK" w:eastAsia="方正小标宋_GBK" w:hAnsi="方正小标宋_GBK" w:cs="方正小标宋_GBK"/>
                                  <w:color w:val="FF0000"/>
                                  <w:spacing w:val="-120"/>
                                  <w:w w:val="90"/>
                                  <w:sz w:val="69"/>
                                </w:rPr>
                              </w:pPr>
                              <w:r>
                                <w:rPr>
                                  <w:rFonts w:ascii="方正小标宋_GBK" w:eastAsia="方正小标宋_GBK" w:hAnsi="方正小标宋_GBK" w:cs="方正小标宋_GBK" w:hint="eastAsia"/>
                                  <w:color w:val="FF0000"/>
                                  <w:spacing w:val="-120"/>
                                  <w:w w:val="90"/>
                                  <w:sz w:val="69"/>
                                </w:rPr>
                                <w:t>青岛市住房和城乡建设局</w:t>
                              </w:r>
                            </w:p>
                            <w:p w:rsidR="00AF5EF0" w:rsidRDefault="00AF5EF0"/>
                          </w:txbxContent>
                        </wps:txbx>
                        <wps:bodyPr upright="1"/>
                      </wps:wsp>
                      <wps:wsp>
                        <wps:cNvPr id="3" name="文本框 3"/>
                        <wps:cNvSpPr txBox="1"/>
                        <wps:spPr>
                          <a:xfrm>
                            <a:off x="6113" y="489"/>
                            <a:ext cx="1650" cy="1228"/>
                          </a:xfrm>
                          <a:prstGeom prst="rect">
                            <a:avLst/>
                          </a:prstGeom>
                          <a:solidFill>
                            <a:srgbClr val="FFFFFF"/>
                          </a:solidFill>
                          <a:ln>
                            <a:noFill/>
                          </a:ln>
                        </wps:spPr>
                        <wps:txbx>
                          <w:txbxContent>
                            <w:p w:rsidR="00AF5EF0" w:rsidRDefault="00915713">
                              <w:pPr>
                                <w:ind w:leftChars="-50" w:left="-160" w:rightChars="-50" w:right="-160"/>
                                <w:jc w:val="center"/>
                                <w:rPr>
                                  <w:rFonts w:ascii="方正小标宋_GBK" w:eastAsia="方正小标宋_GBK"/>
                                  <w:color w:val="FF0000"/>
                                  <w:sz w:val="95"/>
                                </w:rPr>
                              </w:pPr>
                              <w:r>
                                <w:rPr>
                                  <w:rFonts w:ascii="方正小标宋_GBK" w:eastAsia="方正小标宋_GBK" w:hAnsi="方正小标宋_GBK" w:cs="方正小标宋_GBK" w:hint="eastAsia"/>
                                  <w:color w:val="FF0000"/>
                                  <w:w w:val="90"/>
                                  <w:sz w:val="95"/>
                                </w:rPr>
                                <w:t>文</w:t>
                              </w:r>
                              <w:r>
                                <w:rPr>
                                  <w:rFonts w:ascii="方正小标宋_GBK" w:eastAsia="方正小标宋_GBK" w:hAnsi="方正小标宋_GBK" w:cs="方正小标宋_GBK" w:hint="eastAsia"/>
                                  <w:color w:val="FF0000"/>
                                  <w:sz w:val="95"/>
                                </w:rPr>
                                <w:t>件</w:t>
                              </w:r>
                            </w:p>
                          </w:txbxContent>
                        </wps:txbx>
                        <wps:bodyPr upright="1"/>
                      </wps:wsp>
                    </wpg:wgp>
                  </a:graphicData>
                </a:graphic>
              </wp:inline>
            </w:drawing>
          </mc:Choice>
          <mc:Fallback xmlns:wpsCustomData="http://www.wps.cn/officeDocument/2013/wpsCustomData" xmlns:w15="http://schemas.microsoft.com/office/word/2012/wordml">
            <w:pict>
              <v:group id="_x0000_s1026" o:spid="_x0000_s1026" o:spt="203" style="height:176.6pt;width:484.25pt;" coordsize="8224,2581" o:gfxdata="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2iPBU1gAAAAUBAAAPAAAAAAAAAAEAIAAAACIAAABkcnMvZG93bnJldi54bWxQSwECFAAUAAAA&#10;CACHTuJAg3t7K5sCAADGBwAADgAAAAAAAAABACAAAAAlAQAAZHJzL2Uyb0RvYy54bWxQSwUGAAAA&#10;AAYABgBZAQAAMgYAAAAA&#10;">
                <o:lock v:ext="edit" aspectratio="f"/>
                <v:rect id="_x0000_s1026" o:spid="_x0000_s1026" o:spt="1" style="position:absolute;left:0;top:0;height:2581;width:822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_x0000_s1026" o:spid="_x0000_s1026" o:spt="202" type="#_x0000_t202" style="position:absolute;left:0;top:136;height:2037;width:616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900" w:lineRule="exact"/>
                          <w:ind w:left="-160" w:leftChars="-50" w:right="160" w:rightChars="50"/>
                          <w:jc w:val="distribute"/>
                          <w:rPr>
                            <w:rFonts w:ascii="方正小标宋_GBK" w:hAnsi="方正小标宋_GBK" w:eastAsia="方正小标宋_GBK" w:cs="方正小标宋_GBK"/>
                            <w:color w:val="FF0000"/>
                            <w:spacing w:val="-120"/>
                            <w:w w:val="90"/>
                            <w:sz w:val="69"/>
                          </w:rPr>
                        </w:pPr>
                        <w:r>
                          <w:rPr>
                            <w:rFonts w:hint="eastAsia" w:ascii="方正小标宋_GBK" w:hAnsi="方正小标宋_GBK" w:eastAsia="方正小标宋_GBK" w:cs="方正小标宋_GBK"/>
                            <w:color w:val="FF0000"/>
                            <w:spacing w:val="-120"/>
                            <w:w w:val="90"/>
                            <w:sz w:val="69"/>
                          </w:rPr>
                          <w:t>中共青岛市委组织部</w:t>
                        </w:r>
                      </w:p>
                      <w:p>
                        <w:pPr>
                          <w:spacing w:line="900" w:lineRule="exact"/>
                          <w:ind w:left="-160" w:leftChars="-50" w:right="160" w:rightChars="50"/>
                          <w:jc w:val="distribute"/>
                          <w:rPr>
                            <w:rFonts w:ascii="方正小标宋_GBK" w:hAnsi="方正小标宋_GBK" w:eastAsia="方正小标宋_GBK" w:cs="方正小标宋_GBK"/>
                            <w:color w:val="FF0000"/>
                            <w:spacing w:val="-120"/>
                            <w:w w:val="90"/>
                            <w:sz w:val="69"/>
                          </w:rPr>
                        </w:pPr>
                        <w:r>
                          <w:rPr>
                            <w:rFonts w:hint="eastAsia" w:ascii="方正小标宋_GBK" w:hAnsi="方正小标宋_GBK" w:eastAsia="方正小标宋_GBK" w:cs="方正小标宋_GBK"/>
                            <w:color w:val="FF0000"/>
                            <w:spacing w:val="-120"/>
                            <w:w w:val="90"/>
                            <w:sz w:val="69"/>
                          </w:rPr>
                          <w:t>青岛市人力资源和社会保障局</w:t>
                        </w:r>
                      </w:p>
                      <w:p>
                        <w:pPr>
                          <w:spacing w:line="900" w:lineRule="exact"/>
                          <w:ind w:left="-160" w:leftChars="-50" w:right="160" w:rightChars="50"/>
                          <w:jc w:val="distribute"/>
                          <w:rPr>
                            <w:rFonts w:ascii="方正小标宋_GBK" w:hAnsi="方正小标宋_GBK" w:eastAsia="方正小标宋_GBK" w:cs="方正小标宋_GBK"/>
                            <w:color w:val="FF0000"/>
                            <w:spacing w:val="-120"/>
                            <w:w w:val="90"/>
                            <w:sz w:val="69"/>
                          </w:rPr>
                        </w:pPr>
                        <w:r>
                          <w:rPr>
                            <w:rFonts w:hint="eastAsia" w:ascii="方正小标宋_GBK" w:hAnsi="方正小标宋_GBK" w:eastAsia="方正小标宋_GBK" w:cs="方正小标宋_GBK"/>
                            <w:color w:val="FF0000"/>
                            <w:spacing w:val="-120"/>
                            <w:w w:val="90"/>
                            <w:sz w:val="69"/>
                          </w:rPr>
                          <w:t>青岛市住房和城乡建设局</w:t>
                        </w:r>
                      </w:p>
                      <w:p/>
                    </w:txbxContent>
                  </v:textbox>
                </v:shape>
                <v:shape id="_x0000_s1026" o:spid="_x0000_s1026" o:spt="202" type="#_x0000_t202" style="position:absolute;left:6113;top:489;height:1228;width:1650;"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ind w:left="-160" w:leftChars="-50" w:right="-160" w:rightChars="-50"/>
                          <w:jc w:val="center"/>
                          <w:rPr>
                            <w:rFonts w:ascii="方正小标宋_GBK" w:eastAsia="方正小标宋_GBK"/>
                            <w:color w:val="FF0000"/>
                            <w:sz w:val="95"/>
                          </w:rPr>
                        </w:pPr>
                        <w:r>
                          <w:rPr>
                            <w:rFonts w:hint="eastAsia" w:ascii="方正小标宋_GBK" w:hAnsi="方正小标宋_GBK" w:eastAsia="方正小标宋_GBK" w:cs="方正小标宋_GBK"/>
                            <w:color w:val="FF0000"/>
                            <w:w w:val="90"/>
                            <w:sz w:val="95"/>
                          </w:rPr>
                          <w:t>文</w:t>
                        </w:r>
                        <w:r>
                          <w:rPr>
                            <w:rFonts w:hint="eastAsia" w:ascii="方正小标宋_GBK" w:hAnsi="方正小标宋_GBK" w:eastAsia="方正小标宋_GBK" w:cs="方正小标宋_GBK"/>
                            <w:color w:val="FF0000"/>
                            <w:sz w:val="95"/>
                          </w:rPr>
                          <w:t>件</w:t>
                        </w:r>
                      </w:p>
                    </w:txbxContent>
                  </v:textbox>
                </v:shape>
                <w10:wrap type="none"/>
                <w10:anchorlock/>
              </v:group>
            </w:pict>
          </mc:Fallback>
        </mc:AlternateContent>
      </w:r>
      <w:proofErr w:type="gramStart"/>
      <w:r>
        <w:rPr>
          <w:rFonts w:ascii="仿宋_GB2312" w:eastAsia="仿宋_GB2312" w:hAnsi="黑体" w:cs="仿宋_GB2312" w:hint="eastAsia"/>
          <w:sz w:val="32"/>
          <w:szCs w:val="32"/>
        </w:rPr>
        <w:t>青人社规</w:t>
      </w:r>
      <w:proofErr w:type="gramEnd"/>
      <w:r>
        <w:rPr>
          <w:rFonts w:ascii="仿宋_GB2312" w:eastAsia="仿宋_GB2312" w:hAnsi="黑体" w:cs="仿宋_GB2312" w:hint="eastAsia"/>
          <w:sz w:val="32"/>
          <w:szCs w:val="32"/>
        </w:rPr>
        <w:t>〔</w:t>
      </w:r>
      <w:r>
        <w:rPr>
          <w:rFonts w:ascii="仿宋_GB2312" w:eastAsia="仿宋_GB2312" w:hAnsi="黑体" w:cs="仿宋_GB2312"/>
          <w:sz w:val="32"/>
          <w:szCs w:val="32"/>
        </w:rPr>
        <w:t>2020</w:t>
      </w:r>
      <w:r>
        <w:rPr>
          <w:rFonts w:ascii="仿宋_GB2312" w:eastAsia="仿宋_GB2312" w:hAnsi="黑体" w:cs="仿宋_GB2312" w:hint="eastAsia"/>
          <w:sz w:val="32"/>
          <w:szCs w:val="32"/>
        </w:rPr>
        <w:t>〕8号</w:t>
      </w:r>
    </w:p>
    <w:p w:rsidR="00AF5EF0" w:rsidRDefault="00915713">
      <w:pPr>
        <w:pStyle w:val="a6"/>
        <w:spacing w:line="500" w:lineRule="exact"/>
        <w:contextualSpacing/>
        <w:jc w:val="both"/>
        <w:rPr>
          <w:rFonts w:ascii="黑体" w:eastAsia="黑体" w:hAnsi="黑体"/>
          <w:spacing w:val="120"/>
        </w:rPr>
      </w:pPr>
      <w:r>
        <w:rPr>
          <w:rFonts w:ascii="Calibri" w:hAnsi="Calibri"/>
          <w:noProof/>
          <w:szCs w:val="2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99695</wp:posOffset>
                </wp:positionV>
                <wp:extent cx="5497195" cy="10160"/>
                <wp:effectExtent l="0" t="4445" r="8255" b="13970"/>
                <wp:wrapNone/>
                <wp:docPr id="5" name="直接连接符 5"/>
                <wp:cNvGraphicFramePr/>
                <a:graphic xmlns:a="http://schemas.openxmlformats.org/drawingml/2006/main">
                  <a:graphicData uri="http://schemas.microsoft.com/office/word/2010/wordprocessingShape">
                    <wps:wsp>
                      <wps:cNvCnPr/>
                      <wps:spPr>
                        <a:xfrm flipV="1">
                          <a:off x="0" y="0"/>
                          <a:ext cx="5497195" cy="10160"/>
                        </a:xfrm>
                        <a:prstGeom prst="line">
                          <a:avLst/>
                        </a:prstGeom>
                        <a:ln w="952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85pt;margin-top:7.85pt;height:0.8pt;width:432.85pt;z-index:251660288;mso-width-relative:page;mso-height-relative:page;" filled="f" stroked="t" coordsize="21600,21600" o:gfxdata="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sfg1QAAAAcBAAAPAAAAAAAAAAEAIAAAACIAAABkcnMvZG93bnJldi54bWxQ&#10;SwECFAAUAAAACACHTuJA3SyYevoBAADmAwAADgAAAAAAAAABACAAAAAkAQAAZHJzL2Uyb0RvYy54&#10;bWxQSwUGAAAAAAYABgBZAQAAkAUAAAAA&#10;">
                <v:fill on="f" focussize="0,0"/>
                <v:stroke color="#FF0000" joinstyle="round"/>
                <v:imagedata o:title=""/>
                <o:lock v:ext="edit" aspectratio="f"/>
              </v:line>
            </w:pict>
          </mc:Fallback>
        </mc:AlternateContent>
      </w:r>
    </w:p>
    <w:p w:rsidR="00AF5EF0" w:rsidRDefault="00AF5EF0">
      <w:pPr>
        <w:pStyle w:val="a6"/>
        <w:spacing w:line="500" w:lineRule="exact"/>
        <w:contextualSpacing/>
        <w:jc w:val="center"/>
        <w:rPr>
          <w:rFonts w:ascii="方正小标宋_GBK" w:eastAsia="方正小标宋_GBK"/>
          <w:bCs/>
          <w:sz w:val="44"/>
          <w:szCs w:val="44"/>
        </w:rPr>
      </w:pPr>
    </w:p>
    <w:p w:rsidR="00AF5EF0" w:rsidRDefault="00915713">
      <w:pPr>
        <w:pStyle w:val="a6"/>
        <w:spacing w:line="560" w:lineRule="exact"/>
        <w:contextualSpacing/>
        <w:jc w:val="center"/>
        <w:rPr>
          <w:rFonts w:ascii="方正小标宋_GBK" w:eastAsia="方正小标宋_GBK"/>
          <w:bCs/>
          <w:sz w:val="44"/>
          <w:szCs w:val="44"/>
        </w:rPr>
      </w:pPr>
      <w:r>
        <w:rPr>
          <w:rFonts w:ascii="方正小标宋_GBK" w:eastAsia="方正小标宋_GBK" w:hint="eastAsia"/>
          <w:bCs/>
          <w:sz w:val="44"/>
          <w:szCs w:val="44"/>
        </w:rPr>
        <w:t>关于印发</w:t>
      </w:r>
      <w:proofErr w:type="gramStart"/>
      <w:r>
        <w:rPr>
          <w:rFonts w:ascii="方正小标宋_GBK" w:eastAsia="方正小标宋_GBK" w:hint="eastAsia"/>
          <w:bCs/>
          <w:sz w:val="44"/>
          <w:szCs w:val="44"/>
        </w:rPr>
        <w:t>《</w:t>
      </w:r>
      <w:proofErr w:type="gramEnd"/>
      <w:r>
        <w:rPr>
          <w:rFonts w:ascii="方正小标宋_GBK" w:eastAsia="方正小标宋_GBK" w:hint="eastAsia"/>
          <w:bCs/>
          <w:sz w:val="44"/>
          <w:szCs w:val="44"/>
        </w:rPr>
        <w:t>青岛市人才住房分配条件和评分</w:t>
      </w:r>
    </w:p>
    <w:p w:rsidR="00AF5EF0" w:rsidRDefault="00915713">
      <w:pPr>
        <w:pStyle w:val="a6"/>
        <w:spacing w:line="500" w:lineRule="exact"/>
        <w:contextualSpacing/>
        <w:jc w:val="center"/>
        <w:rPr>
          <w:rFonts w:ascii="方正小标宋_GBK" w:eastAsia="方正小标宋_GBK" w:hAnsi="Calibri"/>
          <w:bCs/>
          <w:sz w:val="44"/>
          <w:szCs w:val="44"/>
        </w:rPr>
      </w:pPr>
      <w:r>
        <w:rPr>
          <w:rFonts w:ascii="方正小标宋_GBK" w:eastAsia="方正小标宋_GBK" w:hint="eastAsia"/>
          <w:bCs/>
          <w:sz w:val="44"/>
          <w:szCs w:val="44"/>
        </w:rPr>
        <w:t>标准细则（试行）</w:t>
      </w:r>
      <w:proofErr w:type="gramStart"/>
      <w:r>
        <w:rPr>
          <w:rFonts w:ascii="方正小标宋_GBK" w:eastAsia="方正小标宋_GBK" w:hint="eastAsia"/>
          <w:bCs/>
          <w:sz w:val="44"/>
          <w:szCs w:val="44"/>
        </w:rPr>
        <w:t>》</w:t>
      </w:r>
      <w:proofErr w:type="gramEnd"/>
      <w:r>
        <w:rPr>
          <w:rFonts w:ascii="方正小标宋_GBK" w:eastAsia="方正小标宋_GBK" w:hint="eastAsia"/>
          <w:bCs/>
          <w:sz w:val="44"/>
          <w:szCs w:val="44"/>
        </w:rPr>
        <w:t>的通知</w:t>
      </w:r>
    </w:p>
    <w:p w:rsidR="00AF5EF0" w:rsidRDefault="00AF5EF0">
      <w:pPr>
        <w:spacing w:line="500" w:lineRule="exact"/>
        <w:jc w:val="center"/>
        <w:rPr>
          <w:rFonts w:ascii="方正小标宋_GBK" w:eastAsia="方正小标宋_GBK" w:cs="宋体"/>
          <w:bCs/>
          <w:sz w:val="44"/>
          <w:szCs w:val="44"/>
        </w:rPr>
      </w:pPr>
    </w:p>
    <w:p w:rsidR="00AF5EF0" w:rsidRDefault="00915713">
      <w:pPr>
        <w:spacing w:line="500" w:lineRule="exact"/>
        <w:rPr>
          <w:rFonts w:ascii="仿宋_GB2312" w:eastAsia="仿宋_GB2312"/>
          <w:color w:val="000000"/>
        </w:rPr>
      </w:pPr>
      <w:r>
        <w:rPr>
          <w:rFonts w:ascii="仿宋_GB2312" w:eastAsia="仿宋_GB2312" w:hint="eastAsia"/>
          <w:color w:val="000000"/>
        </w:rPr>
        <w:t>各区市委组织部、人力资源和社会保障局、住房和城乡建设局、各有关单位：</w:t>
      </w:r>
    </w:p>
    <w:p w:rsidR="00AF5EF0" w:rsidRDefault="00915713">
      <w:pPr>
        <w:spacing w:line="560" w:lineRule="exact"/>
        <w:ind w:firstLine="645"/>
        <w:jc w:val="left"/>
        <w:rPr>
          <w:rFonts w:ascii="仿宋_GB2312" w:eastAsia="仿宋_GB2312"/>
          <w:color w:val="000000"/>
        </w:rPr>
      </w:pPr>
      <w:r>
        <w:rPr>
          <w:rFonts w:ascii="仿宋_GB2312" w:eastAsia="仿宋_GB2312" w:hint="eastAsia"/>
          <w:color w:val="000000"/>
        </w:rPr>
        <w:t>现将《青岛市人才住房分配条件和评分标准细则（试行）》印发给你们，请结合实际认真遵照执行。</w:t>
      </w:r>
    </w:p>
    <w:p w:rsidR="00AF5EF0" w:rsidRDefault="00AF5EF0">
      <w:pPr>
        <w:spacing w:line="560" w:lineRule="exact"/>
        <w:ind w:firstLineChars="200" w:firstLine="640"/>
        <w:jc w:val="left"/>
        <w:rPr>
          <w:rFonts w:ascii="仿宋_GB2312" w:eastAsia="仿宋_GB2312"/>
          <w:color w:val="000000"/>
        </w:rPr>
      </w:pPr>
    </w:p>
    <w:p w:rsidR="00AF5EF0" w:rsidRDefault="00915713">
      <w:pPr>
        <w:spacing w:line="540" w:lineRule="exact"/>
        <w:ind w:firstLineChars="100" w:firstLine="320"/>
        <w:rPr>
          <w:rFonts w:ascii="仿宋_GB2312" w:eastAsia="仿宋_GB2312"/>
          <w:szCs w:val="32"/>
        </w:rPr>
      </w:pPr>
      <w:r>
        <w:rPr>
          <w:rFonts w:ascii="仿宋_GB2312" w:eastAsia="仿宋_GB2312" w:hint="eastAsia"/>
          <w:szCs w:val="32"/>
        </w:rPr>
        <w:t>中共青岛市委       青岛市人力资源      青岛市住房</w:t>
      </w:r>
      <w:proofErr w:type="gramStart"/>
      <w:r>
        <w:rPr>
          <w:rFonts w:ascii="仿宋_GB2312" w:eastAsia="仿宋_GB2312" w:hint="eastAsia"/>
          <w:szCs w:val="32"/>
        </w:rPr>
        <w:t>和</w:t>
      </w:r>
      <w:proofErr w:type="gramEnd"/>
    </w:p>
    <w:p w:rsidR="00AF5EF0" w:rsidRDefault="00915713">
      <w:pPr>
        <w:spacing w:line="540" w:lineRule="exact"/>
        <w:ind w:firstLineChars="100" w:firstLine="320"/>
        <w:rPr>
          <w:rFonts w:ascii="仿宋_GB2312" w:eastAsia="仿宋_GB2312"/>
          <w:color w:val="000000"/>
        </w:rPr>
      </w:pPr>
      <w:r>
        <w:rPr>
          <w:rFonts w:ascii="仿宋_GB2312" w:eastAsia="仿宋_GB2312" w:hint="eastAsia"/>
          <w:szCs w:val="32"/>
        </w:rPr>
        <w:t>组织部</w:t>
      </w:r>
      <w:r>
        <w:rPr>
          <w:rFonts w:ascii="仿宋_GB2312" w:eastAsia="仿宋_GB2312" w:hint="eastAsia"/>
        </w:rPr>
        <w:t xml:space="preserve">             </w:t>
      </w:r>
      <w:r>
        <w:rPr>
          <w:rFonts w:ascii="仿宋_GB2312" w:eastAsia="仿宋_GB2312" w:hint="eastAsia"/>
          <w:szCs w:val="32"/>
        </w:rPr>
        <w:t>和社会保障局        城乡建设局</w:t>
      </w:r>
    </w:p>
    <w:p w:rsidR="00AF5EF0" w:rsidRDefault="00915713">
      <w:pPr>
        <w:spacing w:line="500" w:lineRule="exact"/>
        <w:ind w:firstLineChars="1600" w:firstLine="5120"/>
        <w:jc w:val="left"/>
        <w:rPr>
          <w:rFonts w:ascii="仿宋_GB2312" w:eastAsia="仿宋_GB2312"/>
          <w:color w:val="000000"/>
        </w:rPr>
      </w:pPr>
      <w:r>
        <w:rPr>
          <w:rFonts w:ascii="仿宋_GB2312" w:eastAsia="仿宋_GB2312" w:hint="eastAsia"/>
          <w:color w:val="000000"/>
        </w:rPr>
        <w:t>2020年10月28日</w:t>
      </w:r>
    </w:p>
    <w:p w:rsidR="00AF5EF0" w:rsidRDefault="00915713" w:rsidP="0001543A">
      <w:pPr>
        <w:spacing w:line="500" w:lineRule="exact"/>
        <w:ind w:firstLineChars="200" w:firstLine="640"/>
        <w:jc w:val="left"/>
        <w:rPr>
          <w:rStyle w:val="NormalCharacter"/>
          <w:rFonts w:ascii="黑体" w:eastAsia="黑体" w:hAnsi="仿宋_GB2312" w:cs="仿宋_GB2312"/>
          <w:szCs w:val="32"/>
        </w:rPr>
      </w:pPr>
      <w:r>
        <w:rPr>
          <w:rFonts w:ascii="仿宋_GB2312" w:eastAsia="仿宋_GB2312" w:hint="eastAsia"/>
          <w:color w:val="000000"/>
        </w:rPr>
        <w:lastRenderedPageBreak/>
        <w:t>（此件主动公开）</w:t>
      </w:r>
      <w:r>
        <w:rPr>
          <w:rStyle w:val="NormalCharacter"/>
          <w:rFonts w:ascii="黑体" w:eastAsia="黑体" w:hAnsi="仿宋_GB2312" w:cs="仿宋_GB2312" w:hint="eastAsia"/>
          <w:szCs w:val="32"/>
        </w:rPr>
        <w:br w:type="page"/>
      </w:r>
    </w:p>
    <w:p w:rsidR="00AF5EF0" w:rsidRDefault="00AF5EF0">
      <w:pPr>
        <w:tabs>
          <w:tab w:val="left" w:pos="2940"/>
        </w:tabs>
        <w:spacing w:line="560" w:lineRule="exact"/>
        <w:jc w:val="center"/>
        <w:rPr>
          <w:rStyle w:val="NormalCharacter"/>
          <w:rFonts w:ascii="黑体" w:eastAsia="黑体" w:hAnsi="仿宋_GB2312" w:cs="仿宋_GB2312"/>
          <w:szCs w:val="32"/>
        </w:rPr>
      </w:pPr>
    </w:p>
    <w:p w:rsidR="00AF5EF0" w:rsidRDefault="00915713">
      <w:pPr>
        <w:tabs>
          <w:tab w:val="left" w:pos="2940"/>
        </w:tabs>
        <w:spacing w:line="560" w:lineRule="exact"/>
        <w:jc w:val="center"/>
        <w:rPr>
          <w:rStyle w:val="NormalCharacter"/>
          <w:rFonts w:ascii="方正小标宋_GBK" w:eastAsia="方正小标宋_GBK" w:hAnsi="仿宋_GB2312" w:cs="仿宋_GB2312"/>
          <w:sz w:val="44"/>
          <w:szCs w:val="44"/>
        </w:rPr>
      </w:pPr>
      <w:r>
        <w:rPr>
          <w:rStyle w:val="NormalCharacter"/>
          <w:rFonts w:ascii="方正小标宋_GBK" w:eastAsia="方正小标宋_GBK" w:hAnsi="仿宋_GB2312" w:cs="仿宋_GB2312" w:hint="eastAsia"/>
          <w:sz w:val="44"/>
          <w:szCs w:val="44"/>
        </w:rPr>
        <w:t>青岛市人才住房分配条件和评分标准细则</w:t>
      </w:r>
    </w:p>
    <w:p w:rsidR="00AF5EF0" w:rsidRDefault="00915713">
      <w:pPr>
        <w:tabs>
          <w:tab w:val="left" w:pos="2940"/>
        </w:tabs>
        <w:spacing w:line="560" w:lineRule="exact"/>
        <w:jc w:val="center"/>
        <w:rPr>
          <w:rFonts w:ascii="黑体" w:eastAsia="黑体" w:hAnsi="黑体" w:cs="黑体"/>
          <w:szCs w:val="32"/>
        </w:rPr>
      </w:pPr>
      <w:r>
        <w:rPr>
          <w:rStyle w:val="NormalCharacter"/>
          <w:rFonts w:ascii="楷体_GB2312" w:eastAsia="楷体_GB2312" w:hAnsi="楷体_GB2312" w:cs="楷体_GB2312" w:hint="eastAsia"/>
          <w:szCs w:val="32"/>
        </w:rPr>
        <w:t>（试行）</w:t>
      </w:r>
    </w:p>
    <w:p w:rsidR="00AF5EF0" w:rsidRDefault="00AF5EF0">
      <w:pPr>
        <w:tabs>
          <w:tab w:val="left" w:pos="2940"/>
        </w:tabs>
        <w:spacing w:line="560" w:lineRule="exact"/>
        <w:ind w:firstLineChars="200" w:firstLine="640"/>
        <w:rPr>
          <w:rFonts w:ascii="黑体" w:eastAsia="黑体" w:hAnsi="黑体" w:cs="黑体"/>
          <w:szCs w:val="32"/>
        </w:rPr>
      </w:pPr>
    </w:p>
    <w:p w:rsidR="00AF5EF0" w:rsidRDefault="00915713">
      <w:pPr>
        <w:tabs>
          <w:tab w:val="left" w:pos="2940"/>
        </w:tabs>
        <w:spacing w:line="560" w:lineRule="exact"/>
        <w:ind w:firstLineChars="200" w:firstLine="640"/>
        <w:rPr>
          <w:rFonts w:ascii="仿宋_GB2312" w:eastAsia="仿宋_GB2312" w:hAnsi="仿宋_GB2312" w:cs="仿宋_GB2312"/>
        </w:rPr>
      </w:pPr>
      <w:r>
        <w:rPr>
          <w:rFonts w:ascii="黑体" w:eastAsia="黑体" w:hAnsi="黑体" w:cs="黑体" w:hint="eastAsia"/>
          <w:szCs w:val="32"/>
        </w:rPr>
        <w:t>第一条</w:t>
      </w:r>
      <w:r>
        <w:rPr>
          <w:rFonts w:ascii="仿宋_GB2312" w:eastAsia="仿宋_GB2312" w:hAnsi="仿宋_GB2312" w:cs="仿宋_GB2312" w:hint="eastAsia"/>
          <w:szCs w:val="32"/>
        </w:rPr>
        <w:t xml:space="preserve">  为进一步做好人才住房分配工作，根据《关于加强人才住房建设和管理的实施意见》（青政发〔2020〕2号）和《关于应对新冠肺炎疫情进一步促进企业恢复正常生产经营的实施意见》（青政办发〔2020〕7号）有关规定</w:t>
      </w:r>
      <w:r>
        <w:rPr>
          <w:rFonts w:ascii="仿宋_GB2312" w:eastAsia="仿宋_GB2312" w:hAnsi="仿宋_GB2312" w:cs="仿宋_GB2312" w:hint="eastAsia"/>
        </w:rPr>
        <w:t>，制定本细则。</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黑体" w:eastAsia="黑体" w:hAnsi="黑体" w:cs="黑体" w:hint="eastAsia"/>
          <w:szCs w:val="32"/>
        </w:rPr>
        <w:t>第二条</w:t>
      </w:r>
      <w:r>
        <w:rPr>
          <w:rFonts w:ascii="仿宋_GB2312" w:eastAsia="仿宋_GB2312" w:hAnsi="仿宋_GB2312" w:cs="仿宋_GB2312" w:hint="eastAsia"/>
          <w:szCs w:val="32"/>
        </w:rPr>
        <w:t xml:space="preserve">  本细则所称人才住房是指《关于加强人才住房建设和管理的实施意见》（青政发〔2020〕2号）规定的限定建设标准、租金标准、销售价格、面向各类人才供应的住房。人才住房分为产权型和租赁型两种类型。</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黑体" w:eastAsia="黑体" w:hAnsi="黑体" w:cs="黑体" w:hint="eastAsia"/>
          <w:szCs w:val="32"/>
        </w:rPr>
        <w:t>第三条</w:t>
      </w:r>
      <w:r>
        <w:rPr>
          <w:rFonts w:ascii="仿宋_GB2312" w:eastAsia="仿宋_GB2312" w:hAnsi="仿宋_GB2312" w:cs="仿宋_GB2312" w:hint="eastAsia"/>
          <w:szCs w:val="32"/>
        </w:rPr>
        <w:t xml:space="preserve">  人才住房分配对象范围包括：</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（一）具有全日制专科及以上学历或具有中级专业技术资格、高级技工及以上职业资格（或相应职业技能等级），或在我市创新创业并做出贡献的各</w:t>
      </w:r>
      <w:proofErr w:type="gramStart"/>
      <w:r>
        <w:rPr>
          <w:rFonts w:ascii="仿宋_GB2312" w:eastAsia="仿宋_GB2312" w:hAnsi="仿宋_GB2312" w:cs="仿宋_GB2312" w:hint="eastAsia"/>
          <w:szCs w:val="32"/>
        </w:rPr>
        <w:t>类全职工作人才</w:t>
      </w:r>
      <w:proofErr w:type="gramEnd"/>
      <w:r>
        <w:rPr>
          <w:rFonts w:ascii="仿宋_GB2312" w:eastAsia="仿宋_GB2312" w:hAnsi="仿宋_GB2312" w:cs="仿宋_GB2312" w:hint="eastAsia"/>
          <w:szCs w:val="32"/>
        </w:rPr>
        <w:t>;</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（二）已在青落户并签订就业协议的毕业学年在校大学生;</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（三）柔性引进的高层次人才。</w:t>
      </w:r>
    </w:p>
    <w:p w:rsidR="00AF5EF0" w:rsidRDefault="00915713">
      <w:pPr>
        <w:tabs>
          <w:tab w:val="left" w:pos="2940"/>
        </w:tabs>
        <w:spacing w:line="560" w:lineRule="exact"/>
        <w:ind w:firstLineChars="200" w:firstLine="640"/>
        <w:rPr>
          <w:rFonts w:ascii="楷体_GB2312" w:eastAsia="仿宋_GB2312" w:hAnsi="仿宋_GB2312" w:cs="仿宋_GB2312"/>
          <w:szCs w:val="32"/>
        </w:rPr>
      </w:pPr>
      <w:r>
        <w:rPr>
          <w:rFonts w:ascii="黑体" w:eastAsia="黑体" w:hAnsi="黑体" w:cs="黑体" w:hint="eastAsia"/>
          <w:szCs w:val="32"/>
        </w:rPr>
        <w:t xml:space="preserve">第四条  </w:t>
      </w:r>
      <w:r>
        <w:rPr>
          <w:rFonts w:ascii="仿宋_GB2312" w:eastAsia="仿宋_GB2312" w:hAnsi="仿宋_GB2312" w:cs="仿宋_GB2312" w:hint="eastAsia"/>
          <w:szCs w:val="32"/>
        </w:rPr>
        <w:t>全职工</w:t>
      </w:r>
      <w:proofErr w:type="gramStart"/>
      <w:r>
        <w:rPr>
          <w:rFonts w:ascii="仿宋_GB2312" w:eastAsia="仿宋_GB2312" w:hAnsi="仿宋_GB2312" w:cs="仿宋_GB2312" w:hint="eastAsia"/>
          <w:szCs w:val="32"/>
        </w:rPr>
        <w:t>作人才</w:t>
      </w:r>
      <w:proofErr w:type="gramEnd"/>
      <w:r>
        <w:rPr>
          <w:rFonts w:ascii="仿宋_GB2312" w:eastAsia="仿宋_GB2312" w:hAnsi="仿宋_GB2312" w:cs="仿宋_GB2312" w:hint="eastAsia"/>
          <w:szCs w:val="32"/>
        </w:rPr>
        <w:t>申请人才住房应同时具备以下条件：</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（一）在我市依法设立的用人单位在职在岗工作，并按规定在我市参加城镇职工社会保险，中央、省驻</w:t>
      </w:r>
      <w:proofErr w:type="gramStart"/>
      <w:r>
        <w:rPr>
          <w:rFonts w:ascii="仿宋_GB2312" w:eastAsia="仿宋_GB2312" w:hAnsi="仿宋_GB2312" w:cs="仿宋_GB2312" w:hint="eastAsia"/>
          <w:szCs w:val="32"/>
        </w:rPr>
        <w:t>青单位</w:t>
      </w:r>
      <w:proofErr w:type="gramEnd"/>
      <w:r>
        <w:rPr>
          <w:rFonts w:ascii="仿宋_GB2312" w:eastAsia="仿宋_GB2312" w:hAnsi="仿宋_GB2312" w:cs="仿宋_GB2312" w:hint="eastAsia"/>
          <w:szCs w:val="32"/>
        </w:rPr>
        <w:t>引进的人才应至少在我市缴纳城镇职工医疗保险；租赁型人才住房可放宽至在</w:t>
      </w:r>
      <w:r>
        <w:rPr>
          <w:rFonts w:ascii="仿宋_GB2312" w:eastAsia="仿宋_GB2312" w:hAnsi="仿宋_GB2312" w:cs="仿宋_GB2312" w:hint="eastAsia"/>
          <w:szCs w:val="32"/>
        </w:rPr>
        <w:lastRenderedPageBreak/>
        <w:t>我市引进的重点产业和各类总部单位（含分支机构）全职工作并缴纳个税的人才；</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国内普通高校专科、本科学历人才需具备统招全日制专科、本科学历；研究生层次人才需取得相应学历或学位证书；专技类人才需取得中级及以上专业技术资格证书；技能类人才需取得高级工（三级）及以上职业资格或职业技能等级证书；高级管理人才近三年个人所得税年度平均纳税总额应达到4万元以上；创业类人才应作为第一大股东或法人代表所创办企业一次性投资额（本人）在100万元人民币以上，并年缴纳税额在10万元以上或企业聘用本市员工10人以上；</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（三）具有青岛市户籍或持有青岛市有效的《山东省居住证》；港澳台同胞以及外籍人才需具有本市有效工作居留证件。</w:t>
      </w:r>
    </w:p>
    <w:p w:rsidR="00AF5EF0" w:rsidRDefault="00915713">
      <w:pPr>
        <w:tabs>
          <w:tab w:val="left" w:pos="2940"/>
        </w:tabs>
        <w:spacing w:line="560" w:lineRule="exact"/>
        <w:ind w:firstLineChars="200" w:firstLine="640"/>
        <w:rPr>
          <w:rFonts w:ascii="楷体_GB2312" w:eastAsia="仿宋_GB2312" w:hAnsi="仿宋_GB2312" w:cs="仿宋_GB2312"/>
          <w:szCs w:val="32"/>
        </w:rPr>
      </w:pPr>
      <w:r>
        <w:rPr>
          <w:rFonts w:ascii="黑体" w:eastAsia="黑体" w:hAnsi="黑体" w:cs="黑体" w:hint="eastAsia"/>
          <w:szCs w:val="32"/>
        </w:rPr>
        <w:t xml:space="preserve">第五条  </w:t>
      </w:r>
      <w:r>
        <w:rPr>
          <w:rFonts w:ascii="仿宋_GB2312" w:eastAsia="仿宋_GB2312" w:hAnsi="仿宋_GB2312" w:cs="仿宋_GB2312" w:hint="eastAsia"/>
          <w:szCs w:val="32"/>
        </w:rPr>
        <w:t>毕业学年在校大学生申请人才住房应同时具备以下条件：</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（一）属于国内普通高校统招全日制专科、本科学历层次毕业学年在校大学生，研究生学历层次毕业学年在校大学生，或在国（境）外高等院校留学的专科及以上学历层次毕业学年在校大学生；</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（二）具有青岛市户籍；</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（三）已与在青用人单位签订就业协议。</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仿宋_GB2312" w:eastAsia="仿宋_GB2312" w:hAnsi="仿宋_GB2312" w:cs="仿宋_GB2312" w:hint="eastAsia"/>
          <w:szCs w:val="32"/>
        </w:rPr>
        <w:t>柔性引进人才同时具备以下条件的，可申请租赁型人才住房：</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（一）符合《青岛市高层次人才分类目录》人才规定，并持有《青岛市高层次人才服务绿卡》或《山东惠才卡》；</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（二）与我市用人单位签订3年以上（含3年）合作协议，每年实际给付人才计缴所得税不低于4万元。</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黑体" w:eastAsia="黑体" w:hAnsi="黑体" w:cs="黑体" w:hint="eastAsia"/>
          <w:szCs w:val="32"/>
        </w:rPr>
        <w:t xml:space="preserve">第七条  </w:t>
      </w:r>
      <w:r>
        <w:rPr>
          <w:rFonts w:ascii="仿宋_GB2312" w:eastAsia="仿宋_GB2312" w:hAnsi="仿宋_GB2312" w:cs="仿宋_GB2312" w:hint="eastAsia"/>
          <w:szCs w:val="32"/>
        </w:rPr>
        <w:t>人才住房申请人及其配偶已承租公共租赁住房或租赁型人才住房的，在租房期间无违约情况且符合条件的，可申请产权型人才住房，并承诺在购房</w:t>
      </w:r>
      <w:proofErr w:type="gramStart"/>
      <w:r>
        <w:rPr>
          <w:rFonts w:ascii="仿宋_GB2312" w:eastAsia="仿宋_GB2312" w:hAnsi="仿宋_GB2312" w:cs="仿宋_GB2312" w:hint="eastAsia"/>
          <w:szCs w:val="32"/>
        </w:rPr>
        <w:t>网签前</w:t>
      </w:r>
      <w:proofErr w:type="gramEnd"/>
      <w:r>
        <w:rPr>
          <w:rFonts w:ascii="仿宋_GB2312" w:eastAsia="仿宋_GB2312" w:hAnsi="仿宋_GB2312" w:cs="仿宋_GB2312" w:hint="eastAsia"/>
          <w:szCs w:val="32"/>
        </w:rPr>
        <w:t>办理退租手续。夫妻双方均符合分配条件的，只能申请租住或购买一套人才住房。</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黑体" w:eastAsia="黑体" w:hAnsi="黑体" w:cs="黑体" w:hint="eastAsia"/>
          <w:color w:val="000000"/>
          <w:kern w:val="0"/>
          <w:szCs w:val="32"/>
        </w:rPr>
        <w:t xml:space="preserve">第八条  </w:t>
      </w:r>
      <w:r>
        <w:rPr>
          <w:rFonts w:ascii="仿宋_GB2312" w:eastAsia="仿宋_GB2312" w:hAnsi="仿宋_GB2312" w:cs="仿宋_GB2312" w:hint="eastAsia"/>
          <w:szCs w:val="32"/>
        </w:rPr>
        <w:t>上述各类人才存在以下情况的，不再享受人才住房政策：</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（一）本人及其配偶、未成年子女在青岛市有住房或5年内有商品住房交易记录（含因离婚、继承、出售、赠与、房屋征收以及履行债务等原因的房产转移）；</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本人及其配偶在青岛市范围内享受过用于改善生活或住房的一次性补贴（主要指住房安家性质的顶尖人才安家费、高层次优秀人才购房安家补贴、创业创新领军人才安家补贴、博士后安家补贴、技能领军人才安家补贴和青年人才在</w:t>
      </w:r>
      <w:proofErr w:type="gramStart"/>
      <w:r>
        <w:rPr>
          <w:rFonts w:ascii="仿宋_GB2312" w:eastAsia="仿宋_GB2312" w:hAnsi="仿宋_GB2312" w:cs="仿宋_GB2312" w:hint="eastAsia"/>
          <w:szCs w:val="32"/>
        </w:rPr>
        <w:t>青创新</w:t>
      </w:r>
      <w:proofErr w:type="gramEnd"/>
      <w:r>
        <w:rPr>
          <w:rFonts w:ascii="仿宋_GB2312" w:eastAsia="仿宋_GB2312" w:hAnsi="仿宋_GB2312" w:cs="仿宋_GB2312" w:hint="eastAsia"/>
          <w:szCs w:val="32"/>
        </w:rPr>
        <w:t>创业一次性安家费等），或享受过住房优惠政策（含福利分房、房改房、经济适用房、限价商品房、部队分房、产权型人才住房、青岛市各级机关干部（职工）分房、集资建房等）。</w:t>
      </w:r>
    </w:p>
    <w:p w:rsidR="00AF5EF0" w:rsidRDefault="00915713">
      <w:pPr>
        <w:widowControl/>
        <w:tabs>
          <w:tab w:val="left" w:pos="2940"/>
        </w:tabs>
        <w:spacing w:line="560" w:lineRule="exact"/>
        <w:ind w:firstLineChars="200" w:firstLine="640"/>
        <w:rPr>
          <w:rFonts w:ascii="仿宋_GB2312" w:eastAsia="仿宋_GB2312" w:hAnsi="仿宋_GB2312" w:cs="仿宋_GB2312"/>
          <w:color w:val="000000"/>
          <w:kern w:val="0"/>
          <w:szCs w:val="32"/>
        </w:rPr>
      </w:pPr>
      <w:r>
        <w:rPr>
          <w:rFonts w:ascii="黑体" w:eastAsia="黑体" w:hAnsi="黑体" w:cs="黑体" w:hint="eastAsia"/>
          <w:color w:val="000000"/>
          <w:kern w:val="0"/>
          <w:szCs w:val="32"/>
        </w:rPr>
        <w:t xml:space="preserve">第九条  </w:t>
      </w:r>
      <w:r>
        <w:rPr>
          <w:rFonts w:ascii="仿宋_GB2312" w:eastAsia="仿宋_GB2312" w:hAnsi="仿宋_GB2312" w:cs="仿宋_GB2312" w:hint="eastAsia"/>
          <w:color w:val="000000"/>
          <w:kern w:val="0"/>
          <w:szCs w:val="32"/>
        </w:rPr>
        <w:t>人才住房分配实行综合评分制，分配顺序按照《青岛市人才住房分配综合评分表》（附件1）各项分值合计，分数</w:t>
      </w:r>
      <w:r>
        <w:rPr>
          <w:rFonts w:ascii="仿宋_GB2312" w:eastAsia="仿宋_GB2312" w:hAnsi="仿宋_GB2312" w:cs="仿宋_GB2312" w:hint="eastAsia"/>
          <w:color w:val="000000"/>
          <w:kern w:val="0"/>
          <w:szCs w:val="32"/>
        </w:rPr>
        <w:lastRenderedPageBreak/>
        <w:t>高者优先。分值相同的按照在青缴纳社保时长排序，时间长者优先；社保缴纳时长相同的，按照配偶加分分值排序；配偶加分分值相同的，按照年龄排序，年龄大者优先。</w:t>
      </w:r>
    </w:p>
    <w:p w:rsidR="00AF5EF0" w:rsidRDefault="00915713">
      <w:pPr>
        <w:widowControl/>
        <w:tabs>
          <w:tab w:val="left" w:pos="2940"/>
        </w:tabs>
        <w:spacing w:line="560" w:lineRule="exact"/>
        <w:ind w:firstLineChars="200" w:firstLine="640"/>
        <w:rPr>
          <w:rFonts w:ascii="仿宋_GB2312" w:eastAsia="仿宋_GB2312" w:hAnsi="仿宋_GB2312" w:cs="仿宋_GB2312"/>
          <w:color w:val="000000"/>
          <w:kern w:val="0"/>
          <w:szCs w:val="32"/>
        </w:rPr>
      </w:pPr>
      <w:r>
        <w:rPr>
          <w:rFonts w:ascii="黑体" w:eastAsia="黑体" w:hAnsi="黑体" w:cs="黑体" w:hint="eastAsia"/>
          <w:color w:val="000000"/>
          <w:kern w:val="0"/>
          <w:szCs w:val="32"/>
        </w:rPr>
        <w:t xml:space="preserve">第十条  </w:t>
      </w:r>
      <w:r>
        <w:rPr>
          <w:rFonts w:ascii="仿宋_GB2312" w:eastAsia="仿宋_GB2312" w:hAnsi="仿宋_GB2312" w:cs="仿宋_GB2312" w:hint="eastAsia"/>
          <w:szCs w:val="32"/>
        </w:rPr>
        <w:t>符合规定条件的人才，按照不同层次享受相应的住房面积标准（见附件2）。</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黑体" w:eastAsia="黑体" w:hAnsi="黑体" w:cs="黑体" w:hint="eastAsia"/>
          <w:color w:val="000000"/>
          <w:kern w:val="0"/>
          <w:szCs w:val="32"/>
        </w:rPr>
        <w:t>第十一条</w:t>
      </w:r>
      <w:r>
        <w:rPr>
          <w:rFonts w:ascii="仿宋_GB2312" w:eastAsia="仿宋_GB2312" w:hAnsi="仿宋_GB2312" w:cs="仿宋_GB2312" w:hint="eastAsia"/>
          <w:szCs w:val="32"/>
        </w:rPr>
        <w:t xml:space="preserve">  人才住房项目分配公告发布后，申请人和用人单位通过人才住房信息管理系统进行申报。申请人选择申报的人才类别，由系统通过全市大数据平台自动获取申请人在本市登记、认证或办理的婚姻、户籍、社保、</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保、学历、学位、职称、职业资格、技能、高层次人才资格以及房产等信息，申请人对各项信息确认后，申报完成。</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对于我市大数据平台无法自动获取或与申请人目前情况不一致的信息，由申请人根据申报类别以诚信申报方式，通过系统进行补充和上传。申请材料清单见附件3。</w:t>
      </w:r>
    </w:p>
    <w:p w:rsidR="00AF5EF0" w:rsidRDefault="00915713">
      <w:pPr>
        <w:tabs>
          <w:tab w:val="left" w:pos="2940"/>
        </w:tabs>
        <w:spacing w:line="560" w:lineRule="exact"/>
        <w:ind w:firstLineChars="200" w:firstLine="640"/>
        <w:rPr>
          <w:rFonts w:ascii="仿宋_GB2312" w:eastAsia="仿宋_GB2312" w:hAnsi="仿宋_GB2312" w:cs="仿宋_GB2312"/>
          <w:szCs w:val="32"/>
        </w:rPr>
      </w:pPr>
      <w:r>
        <w:rPr>
          <w:rFonts w:ascii="黑体" w:eastAsia="黑体" w:hAnsi="黑体" w:cs="黑体" w:hint="eastAsia"/>
          <w:szCs w:val="32"/>
        </w:rPr>
        <w:t xml:space="preserve">第十二条  </w:t>
      </w:r>
      <w:r>
        <w:rPr>
          <w:rFonts w:ascii="仿宋_GB2312" w:eastAsia="仿宋_GB2312" w:hAnsi="仿宋_GB2312" w:cs="仿宋_GB2312" w:hint="eastAsia"/>
          <w:szCs w:val="32"/>
        </w:rPr>
        <w:t>人才住房申请采取诚信申报方式，申请人和用人单位须如实提供申请材料，填报申请信息，并对提供材料和所填信息的真实性进行承诺。对弄虚作假骗取配租配售资格的个人，一经核实取消其分配资格，收回人才住房，5年内不得再次申请人才住房，并记入信用记录，纳入国家和省、市信用信息共享平台管理。对出具虚假证明的单位，纳入人才住房政策失信单位名单，并由主管部门或移交相关部门依法追究单位领导和相关工作人员的责任。</w:t>
      </w:r>
    </w:p>
    <w:p w:rsidR="00AF5EF0" w:rsidRDefault="00915713">
      <w:pPr>
        <w:tabs>
          <w:tab w:val="left" w:pos="2940"/>
        </w:tabs>
        <w:spacing w:line="560" w:lineRule="exact"/>
        <w:ind w:firstLineChars="200" w:firstLine="640"/>
        <w:rPr>
          <w:rFonts w:ascii="黑体" w:eastAsia="黑体" w:hAnsi="黑体" w:cs="黑体"/>
          <w:szCs w:val="32"/>
        </w:rPr>
      </w:pPr>
      <w:r>
        <w:rPr>
          <w:rFonts w:ascii="黑体" w:eastAsia="黑体" w:hAnsi="黑体" w:cs="黑体" w:hint="eastAsia"/>
          <w:szCs w:val="32"/>
        </w:rPr>
        <w:lastRenderedPageBreak/>
        <w:t xml:space="preserve">第十三条  </w:t>
      </w:r>
      <w:r>
        <w:rPr>
          <w:rFonts w:ascii="仿宋_GB2312" w:eastAsia="仿宋_GB2312" w:hAnsi="仿宋" w:cs="宋体" w:hint="eastAsia"/>
          <w:kern w:val="0"/>
          <w:szCs w:val="32"/>
        </w:rPr>
        <w:t>本细则由青岛市人力资源和社会保障局会同中共青岛市委组织部和青岛市住房和城乡建设局负责解释。</w:t>
      </w:r>
    </w:p>
    <w:p w:rsidR="00AF5EF0" w:rsidRDefault="00915713">
      <w:pPr>
        <w:widowControl/>
        <w:tabs>
          <w:tab w:val="left" w:pos="2940"/>
        </w:tabs>
        <w:spacing w:line="560" w:lineRule="exact"/>
        <w:ind w:firstLineChars="200" w:firstLine="640"/>
        <w:jc w:val="left"/>
        <w:rPr>
          <w:rFonts w:ascii="仿宋_GB2312" w:eastAsia="仿宋_GB2312" w:hAnsi="仿宋_GB2312" w:cs="仿宋_GB2312"/>
          <w:szCs w:val="32"/>
        </w:rPr>
      </w:pPr>
      <w:r>
        <w:rPr>
          <w:rFonts w:ascii="黑体" w:eastAsia="黑体" w:hAnsi="黑体" w:cs="黑体" w:hint="eastAsia"/>
          <w:szCs w:val="32"/>
        </w:rPr>
        <w:t xml:space="preserve">第十四条  </w:t>
      </w:r>
      <w:r>
        <w:rPr>
          <w:rFonts w:ascii="仿宋_GB2312" w:eastAsia="仿宋_GB2312" w:hAnsi="楷体_GB2312" w:cs="仿宋_GB2312" w:hint="eastAsia"/>
          <w:color w:val="000000"/>
          <w:kern w:val="0"/>
          <w:szCs w:val="32"/>
        </w:rPr>
        <w:t>本细则自2020年11月30日</w:t>
      </w:r>
      <w:r>
        <w:rPr>
          <w:rFonts w:ascii="仿宋_GB2312" w:eastAsia="仿宋_GB2312" w:hAnsi="楷体_GB2312" w:cs="仿宋_GB2312"/>
          <w:color w:val="000000"/>
          <w:kern w:val="0"/>
          <w:szCs w:val="32"/>
        </w:rPr>
        <w:t>起</w:t>
      </w:r>
      <w:r>
        <w:rPr>
          <w:rFonts w:ascii="仿宋_GB2312" w:eastAsia="仿宋_GB2312" w:hAnsi="楷体_GB2312" w:cs="仿宋_GB2312" w:hint="eastAsia"/>
          <w:color w:val="000000"/>
          <w:kern w:val="0"/>
          <w:szCs w:val="32"/>
        </w:rPr>
        <w:t>施行，有效期至20</w:t>
      </w:r>
      <w:r>
        <w:rPr>
          <w:rFonts w:ascii="仿宋_GB2312" w:eastAsia="仿宋_GB2312" w:hAnsi="楷体_GB2312" w:cs="仿宋_GB2312"/>
          <w:color w:val="000000"/>
          <w:kern w:val="0"/>
          <w:szCs w:val="32"/>
        </w:rPr>
        <w:t>2</w:t>
      </w:r>
      <w:r>
        <w:rPr>
          <w:rFonts w:ascii="仿宋_GB2312" w:eastAsia="仿宋_GB2312" w:hAnsi="楷体_GB2312" w:cs="仿宋_GB2312" w:hint="eastAsia"/>
          <w:color w:val="000000"/>
          <w:kern w:val="0"/>
          <w:szCs w:val="32"/>
        </w:rPr>
        <w:t>1年11月30日。其他未尽事宜，以</w:t>
      </w:r>
      <w:r>
        <w:rPr>
          <w:rFonts w:ascii="仿宋_GB2312" w:eastAsia="仿宋_GB2312" w:hAnsi="仿宋_GB2312" w:cs="仿宋_GB2312" w:hint="eastAsia"/>
          <w:szCs w:val="32"/>
        </w:rPr>
        <w:t>《关于加强人才住房建设和管理的实施意见》（青政发〔2020〕2号）规定为准。</w:t>
      </w:r>
    </w:p>
    <w:p w:rsidR="00AF5EF0" w:rsidRDefault="00AF5EF0">
      <w:pPr>
        <w:tabs>
          <w:tab w:val="left" w:pos="3410"/>
        </w:tabs>
        <w:spacing w:line="560" w:lineRule="exact"/>
        <w:ind w:firstLine="645"/>
        <w:jc w:val="left"/>
        <w:rPr>
          <w:rFonts w:ascii="仿宋_GB2312" w:eastAsia="仿宋_GB2312" w:hAnsi="楷体_GB2312" w:cs="仿宋_GB2312"/>
          <w:color w:val="000000"/>
          <w:kern w:val="0"/>
          <w:szCs w:val="32"/>
        </w:rPr>
      </w:pPr>
    </w:p>
    <w:p w:rsidR="00AF5EF0" w:rsidRDefault="00915713">
      <w:pPr>
        <w:widowControl/>
        <w:tabs>
          <w:tab w:val="left" w:pos="2940"/>
        </w:tabs>
        <w:spacing w:line="56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附件：1.青岛市人才住房分配综合评分表</w:t>
      </w:r>
    </w:p>
    <w:p w:rsidR="00AF5EF0" w:rsidRDefault="00915713">
      <w:pPr>
        <w:widowControl/>
        <w:tabs>
          <w:tab w:val="left" w:pos="2940"/>
        </w:tabs>
        <w:spacing w:line="560" w:lineRule="exact"/>
        <w:ind w:leftChars="500" w:left="1600"/>
        <w:rPr>
          <w:rFonts w:ascii="仿宋_GB2312" w:eastAsia="仿宋_GB2312" w:hAnsi="仿宋_GB2312" w:cs="仿宋_GB2312"/>
          <w:kern w:val="0"/>
          <w:szCs w:val="32"/>
        </w:rPr>
      </w:pPr>
      <w:r>
        <w:rPr>
          <w:rFonts w:ascii="仿宋_GB2312" w:eastAsia="仿宋_GB2312" w:hAnsi="仿宋_GB2312" w:cs="仿宋_GB2312" w:hint="eastAsia"/>
          <w:kern w:val="0"/>
          <w:szCs w:val="32"/>
        </w:rPr>
        <w:t>2.青岛市人才住房人才类别及住房面积标准</w:t>
      </w:r>
    </w:p>
    <w:p w:rsidR="00AF5EF0" w:rsidRDefault="00915713">
      <w:pPr>
        <w:widowControl/>
        <w:tabs>
          <w:tab w:val="left" w:pos="2940"/>
        </w:tabs>
        <w:spacing w:line="560" w:lineRule="exact"/>
        <w:ind w:leftChars="500" w:left="1600"/>
        <w:rPr>
          <w:rFonts w:ascii="仿宋_GB2312" w:eastAsia="仿宋_GB2312" w:hAnsi="仿宋_GB2312" w:cs="仿宋_GB2312"/>
          <w:kern w:val="0"/>
          <w:szCs w:val="32"/>
        </w:rPr>
      </w:pPr>
      <w:r>
        <w:rPr>
          <w:rFonts w:ascii="仿宋_GB2312" w:eastAsia="仿宋_GB2312" w:hAnsi="仿宋_GB2312" w:cs="仿宋_GB2312" w:hint="eastAsia"/>
          <w:kern w:val="0"/>
          <w:szCs w:val="32"/>
        </w:rPr>
        <w:t>3.青岛市人才住房申请材料清单</w:t>
      </w:r>
    </w:p>
    <w:p w:rsidR="00AF5EF0" w:rsidRDefault="00915713">
      <w:pPr>
        <w:tabs>
          <w:tab w:val="left" w:pos="2940"/>
        </w:tabs>
        <w:rPr>
          <w:rFonts w:ascii="黑体" w:eastAsia="黑体" w:hAnsi="黑体" w:cs="黑体"/>
          <w:szCs w:val="32"/>
        </w:rPr>
      </w:pPr>
      <w:r>
        <w:rPr>
          <w:rFonts w:ascii="黑体" w:eastAsia="黑体" w:hAnsi="黑体" w:cs="黑体" w:hint="eastAsia"/>
          <w:szCs w:val="32"/>
        </w:rPr>
        <w:br w:type="page"/>
      </w:r>
      <w:r>
        <w:rPr>
          <w:rFonts w:ascii="黑体" w:eastAsia="黑体" w:hAnsi="黑体" w:cs="黑体" w:hint="eastAsia"/>
          <w:szCs w:val="32"/>
        </w:rPr>
        <w:lastRenderedPageBreak/>
        <w:t>附件1</w:t>
      </w:r>
    </w:p>
    <w:p w:rsidR="00AF5EF0" w:rsidRDefault="00915713">
      <w:pPr>
        <w:widowControl/>
        <w:tabs>
          <w:tab w:val="left" w:pos="2940"/>
        </w:tabs>
        <w:spacing w:line="540" w:lineRule="exact"/>
        <w:jc w:val="center"/>
        <w:rPr>
          <w:rFonts w:ascii="方正小标宋_GBK" w:eastAsia="方正小标宋_GBK" w:hAnsi="方正小标宋_GBK" w:cs="方正小标宋_GBK"/>
          <w:bCs/>
          <w:color w:val="000000"/>
          <w:kern w:val="0"/>
          <w:sz w:val="44"/>
          <w:szCs w:val="44"/>
        </w:rPr>
      </w:pPr>
      <w:r>
        <w:rPr>
          <w:rFonts w:ascii="方正小标宋_GBK" w:eastAsia="方正小标宋_GBK" w:hAnsi="方正小标宋_GBK" w:cs="方正小标宋_GBK" w:hint="eastAsia"/>
          <w:bCs/>
          <w:color w:val="000000"/>
          <w:kern w:val="0"/>
          <w:sz w:val="44"/>
          <w:szCs w:val="44"/>
        </w:rPr>
        <w:t>青岛市人才住房分配综合评分表</w:t>
      </w:r>
    </w:p>
    <w:p w:rsidR="00AF5EF0" w:rsidRDefault="00AF5EF0">
      <w:pPr>
        <w:widowControl/>
        <w:tabs>
          <w:tab w:val="left" w:pos="2940"/>
        </w:tabs>
        <w:spacing w:line="320" w:lineRule="exact"/>
        <w:jc w:val="center"/>
        <w:rPr>
          <w:rFonts w:ascii="方正小标宋_GBK" w:eastAsia="方正小标宋_GBK" w:hAnsi="方正小标宋_GBK" w:cs="方正小标宋_GBK"/>
          <w:bCs/>
          <w:color w:val="000000"/>
          <w:kern w:val="0"/>
          <w:sz w:val="44"/>
          <w:szCs w:val="44"/>
        </w:rPr>
      </w:pPr>
    </w:p>
    <w:tbl>
      <w:tblPr>
        <w:tblW w:w="9667" w:type="dxa"/>
        <w:tblInd w:w="-640" w:type="dxa"/>
        <w:tblLayout w:type="fixed"/>
        <w:tblCellMar>
          <w:left w:w="0" w:type="dxa"/>
          <w:right w:w="0" w:type="dxa"/>
        </w:tblCellMar>
        <w:tblLook w:val="04A0" w:firstRow="1" w:lastRow="0" w:firstColumn="1" w:lastColumn="0" w:noHBand="0" w:noVBand="1"/>
      </w:tblPr>
      <w:tblGrid>
        <w:gridCol w:w="946"/>
        <w:gridCol w:w="1395"/>
        <w:gridCol w:w="5430"/>
        <w:gridCol w:w="960"/>
        <w:gridCol w:w="936"/>
      </w:tblGrid>
      <w:tr w:rsidR="00AF5EF0">
        <w:trPr>
          <w:trHeight w:val="600"/>
        </w:trPr>
        <w:tc>
          <w:tcPr>
            <w:tcW w:w="9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kern w:val="0"/>
                <w:szCs w:val="32"/>
              </w:rPr>
            </w:pPr>
            <w:r>
              <w:rPr>
                <w:rFonts w:ascii="黑体" w:eastAsia="黑体" w:hAnsi="黑体" w:cs="黑体" w:hint="eastAsia"/>
                <w:bCs/>
                <w:color w:val="000000"/>
                <w:kern w:val="0"/>
                <w:szCs w:val="32"/>
              </w:rPr>
              <w:t>一级</w:t>
            </w:r>
          </w:p>
          <w:p w:rsidR="00AF5EF0" w:rsidRDefault="00915713">
            <w:pPr>
              <w:widowControl/>
              <w:tabs>
                <w:tab w:val="left" w:pos="2940"/>
              </w:tabs>
              <w:spacing w:line="360" w:lineRule="exact"/>
              <w:jc w:val="center"/>
              <w:textAlignment w:val="center"/>
              <w:rPr>
                <w:rFonts w:ascii="黑体" w:eastAsia="黑体" w:hAnsi="黑体" w:cs="黑体"/>
                <w:bCs/>
                <w:color w:val="000000"/>
                <w:szCs w:val="32"/>
              </w:rPr>
            </w:pPr>
            <w:r>
              <w:rPr>
                <w:rFonts w:ascii="黑体" w:eastAsia="黑体" w:hAnsi="黑体" w:cs="黑体" w:hint="eastAsia"/>
                <w:bCs/>
                <w:color w:val="000000"/>
                <w:kern w:val="0"/>
                <w:szCs w:val="32"/>
              </w:rPr>
              <w:t>指标</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szCs w:val="32"/>
              </w:rPr>
            </w:pPr>
            <w:r>
              <w:rPr>
                <w:rFonts w:ascii="黑体" w:eastAsia="黑体" w:hAnsi="黑体" w:cs="黑体" w:hint="eastAsia"/>
                <w:bCs/>
                <w:color w:val="000000"/>
                <w:kern w:val="0"/>
                <w:szCs w:val="32"/>
              </w:rPr>
              <w:t>二级指标</w:t>
            </w: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szCs w:val="32"/>
              </w:rPr>
            </w:pPr>
            <w:r>
              <w:rPr>
                <w:rFonts w:ascii="黑体" w:eastAsia="黑体" w:hAnsi="黑体" w:cs="黑体" w:hint="eastAsia"/>
                <w:bCs/>
                <w:color w:val="000000"/>
                <w:kern w:val="0"/>
                <w:szCs w:val="32"/>
              </w:rPr>
              <w:t>三级指标</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szCs w:val="32"/>
              </w:rPr>
            </w:pPr>
            <w:r>
              <w:rPr>
                <w:rFonts w:ascii="黑体" w:eastAsia="黑体" w:hAnsi="黑体" w:cs="黑体" w:hint="eastAsia"/>
                <w:bCs/>
                <w:color w:val="000000"/>
                <w:kern w:val="0"/>
                <w:szCs w:val="32"/>
              </w:rPr>
              <w:t>得分</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kern w:val="0"/>
                <w:szCs w:val="32"/>
              </w:rPr>
            </w:pPr>
            <w:r>
              <w:rPr>
                <w:rFonts w:ascii="黑体" w:eastAsia="黑体" w:hAnsi="黑体" w:cs="黑体" w:hint="eastAsia"/>
                <w:bCs/>
                <w:color w:val="000000"/>
                <w:kern w:val="0"/>
                <w:szCs w:val="32"/>
              </w:rPr>
              <w:t>备注</w:t>
            </w:r>
          </w:p>
        </w:tc>
      </w:tr>
      <w:tr w:rsidR="00AF5EF0">
        <w:trPr>
          <w:trHeight w:val="519"/>
        </w:trPr>
        <w:tc>
          <w:tcPr>
            <w:tcW w:w="9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人才类别指标</w:t>
            </w:r>
          </w:p>
        </w:tc>
        <w:tc>
          <w:tcPr>
            <w:tcW w:w="13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专技类人才</w:t>
            </w: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正高职称</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90</w:t>
            </w:r>
          </w:p>
        </w:tc>
        <w:tc>
          <w:tcPr>
            <w:tcW w:w="93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申请人同时符合多种条件的，按分值最高项评分，</w:t>
            </w:r>
            <w:proofErr w:type="gramStart"/>
            <w:r>
              <w:rPr>
                <w:rFonts w:ascii="仿宋_GB2312" w:eastAsia="仿宋_GB2312" w:hAnsi="宋体" w:cs="仿宋_GB2312" w:hint="eastAsia"/>
                <w:color w:val="000000"/>
                <w:kern w:val="0"/>
                <w:sz w:val="28"/>
                <w:szCs w:val="28"/>
              </w:rPr>
              <w:t>不</w:t>
            </w:r>
            <w:proofErr w:type="gramEnd"/>
            <w:r>
              <w:rPr>
                <w:rFonts w:ascii="仿宋_GB2312" w:eastAsia="仿宋_GB2312" w:hAnsi="宋体" w:cs="仿宋_GB2312" w:hint="eastAsia"/>
                <w:color w:val="000000"/>
                <w:kern w:val="0"/>
                <w:sz w:val="28"/>
                <w:szCs w:val="28"/>
              </w:rPr>
              <w:t>累计计算。</w:t>
            </w:r>
          </w:p>
        </w:tc>
      </w:tr>
      <w:tr w:rsidR="00AF5EF0">
        <w:trPr>
          <w:trHeight w:val="529"/>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副高职称</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72</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68"/>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中级职称</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60</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68"/>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学历类人才</w:t>
            </w: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博士/毕业学年在校博士</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67</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68"/>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硕士/毕业学年在校硕士</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57</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68"/>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全日制本科/毕业学年在校全日制本科</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50</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68"/>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全日制专科/毕业学年全日制专科</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45</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68"/>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技能类人才</w:t>
            </w: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高级技师</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64</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68"/>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技师</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53</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68"/>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高级工</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48</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285"/>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高级管理人才（以纳税额为准）</w:t>
            </w: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近三年个人所得税（仅</w:t>
            </w:r>
            <w:proofErr w:type="gramStart"/>
            <w:r>
              <w:rPr>
                <w:rFonts w:ascii="仿宋_GB2312" w:eastAsia="仿宋_GB2312" w:hAnsi="仿宋_GB2312" w:cs="仿宋_GB2312" w:hint="eastAsia"/>
                <w:color w:val="000000"/>
                <w:kern w:val="0"/>
                <w:sz w:val="28"/>
                <w:szCs w:val="28"/>
              </w:rPr>
              <w:t>含单位</w:t>
            </w:r>
            <w:proofErr w:type="gramEnd"/>
            <w:r>
              <w:rPr>
                <w:rFonts w:ascii="仿宋_GB2312" w:eastAsia="仿宋_GB2312" w:hAnsi="仿宋_GB2312" w:cs="仿宋_GB2312" w:hint="eastAsia"/>
                <w:color w:val="000000"/>
                <w:kern w:val="0"/>
                <w:sz w:val="28"/>
                <w:szCs w:val="28"/>
              </w:rPr>
              <w:t>计缴工资、薪金所得和劳务报酬所得项目）年度平均纳税总额12万元及以上人员</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70</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285"/>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近三年个人所得税（仅</w:t>
            </w:r>
            <w:proofErr w:type="gramStart"/>
            <w:r>
              <w:rPr>
                <w:rFonts w:ascii="仿宋_GB2312" w:eastAsia="仿宋_GB2312" w:hAnsi="仿宋_GB2312" w:cs="仿宋_GB2312" w:hint="eastAsia"/>
                <w:color w:val="000000"/>
                <w:kern w:val="0"/>
                <w:sz w:val="28"/>
                <w:szCs w:val="28"/>
              </w:rPr>
              <w:t>含单位</w:t>
            </w:r>
            <w:proofErr w:type="gramEnd"/>
            <w:r>
              <w:rPr>
                <w:rFonts w:ascii="仿宋_GB2312" w:eastAsia="仿宋_GB2312" w:hAnsi="仿宋_GB2312" w:cs="仿宋_GB2312" w:hint="eastAsia"/>
                <w:color w:val="000000"/>
                <w:kern w:val="0"/>
                <w:sz w:val="28"/>
                <w:szCs w:val="28"/>
              </w:rPr>
              <w:t>计缴工资、薪金所得和劳务报酬所得项目）年度平均纳税总额8万元-12万元人员</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bidi="ar"/>
              </w:rPr>
              <w:t>64</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285"/>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近三年个人所得税（仅</w:t>
            </w:r>
            <w:proofErr w:type="gramStart"/>
            <w:r>
              <w:rPr>
                <w:rFonts w:ascii="仿宋_GB2312" w:eastAsia="仿宋_GB2312" w:hAnsi="仿宋_GB2312" w:cs="仿宋_GB2312" w:hint="eastAsia"/>
                <w:color w:val="000000"/>
                <w:kern w:val="0"/>
                <w:sz w:val="28"/>
                <w:szCs w:val="28"/>
              </w:rPr>
              <w:t>含单位</w:t>
            </w:r>
            <w:proofErr w:type="gramEnd"/>
            <w:r>
              <w:rPr>
                <w:rFonts w:ascii="仿宋_GB2312" w:eastAsia="仿宋_GB2312" w:hAnsi="仿宋_GB2312" w:cs="仿宋_GB2312" w:hint="eastAsia"/>
                <w:color w:val="000000"/>
                <w:kern w:val="0"/>
                <w:sz w:val="28"/>
                <w:szCs w:val="28"/>
              </w:rPr>
              <w:t>计缴工资、薪金所得和劳务报酬所得项目）年度平均纳税总额4万元-8万元人员</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lang w:bidi="ar"/>
              </w:rPr>
              <w:t>60</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534"/>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创业类人才</w:t>
            </w: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作为第一大股东或法人代表所创办企业一次性投资额在300万元人民币以上，并年缴纳税额在30万元以上或企业聘用本市员工30人以上人员</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lang w:bidi="ar"/>
              </w:rPr>
              <w:t>72</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531"/>
        </w:trPr>
        <w:tc>
          <w:tcPr>
            <w:tcW w:w="9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作为第一大股东或法人代表所创办企业一次性投资额在100万元人民币以上，并年缴纳税额在10万元以上或企业聘用本市员工10人以上人员</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lang w:bidi="ar"/>
              </w:rPr>
              <w:t>60</w:t>
            </w:r>
          </w:p>
        </w:tc>
        <w:tc>
          <w:tcPr>
            <w:tcW w:w="93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600"/>
        </w:trPr>
        <w:tc>
          <w:tcPr>
            <w:tcW w:w="9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kern w:val="0"/>
                <w:szCs w:val="32"/>
              </w:rPr>
            </w:pPr>
            <w:r>
              <w:rPr>
                <w:rFonts w:ascii="黑体" w:eastAsia="黑体" w:hAnsi="黑体" w:cs="黑体" w:hint="eastAsia"/>
                <w:bCs/>
                <w:color w:val="000000"/>
                <w:kern w:val="0"/>
                <w:szCs w:val="32"/>
              </w:rPr>
              <w:lastRenderedPageBreak/>
              <w:t>一级</w:t>
            </w:r>
          </w:p>
          <w:p w:rsidR="00AF5EF0" w:rsidRDefault="00915713">
            <w:pPr>
              <w:widowControl/>
              <w:tabs>
                <w:tab w:val="left" w:pos="2940"/>
              </w:tabs>
              <w:spacing w:line="360" w:lineRule="exact"/>
              <w:jc w:val="center"/>
              <w:textAlignment w:val="center"/>
              <w:rPr>
                <w:rFonts w:ascii="黑体" w:eastAsia="黑体" w:hAnsi="黑体" w:cs="黑体"/>
                <w:bCs/>
                <w:color w:val="000000"/>
                <w:szCs w:val="32"/>
              </w:rPr>
            </w:pPr>
            <w:r>
              <w:rPr>
                <w:rFonts w:ascii="黑体" w:eastAsia="黑体" w:hAnsi="黑体" w:cs="黑体" w:hint="eastAsia"/>
                <w:bCs/>
                <w:color w:val="000000"/>
                <w:kern w:val="0"/>
                <w:szCs w:val="32"/>
              </w:rPr>
              <w:t>指标</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szCs w:val="32"/>
              </w:rPr>
            </w:pPr>
            <w:r>
              <w:rPr>
                <w:rFonts w:ascii="黑体" w:eastAsia="黑体" w:hAnsi="黑体" w:cs="黑体" w:hint="eastAsia"/>
                <w:bCs/>
                <w:color w:val="000000"/>
                <w:kern w:val="0"/>
                <w:szCs w:val="32"/>
              </w:rPr>
              <w:t>二级指标</w:t>
            </w: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szCs w:val="32"/>
              </w:rPr>
            </w:pPr>
            <w:r>
              <w:rPr>
                <w:rFonts w:ascii="黑体" w:eastAsia="黑体" w:hAnsi="黑体" w:cs="黑体" w:hint="eastAsia"/>
                <w:bCs/>
                <w:color w:val="000000"/>
                <w:kern w:val="0"/>
                <w:szCs w:val="32"/>
              </w:rPr>
              <w:t>三级指标</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szCs w:val="32"/>
              </w:rPr>
            </w:pPr>
            <w:r>
              <w:rPr>
                <w:rFonts w:ascii="黑体" w:eastAsia="黑体" w:hAnsi="黑体" w:cs="黑体" w:hint="eastAsia"/>
                <w:bCs/>
                <w:color w:val="000000"/>
                <w:kern w:val="0"/>
                <w:szCs w:val="32"/>
              </w:rPr>
              <w:t>得分</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center"/>
              <w:rPr>
                <w:rFonts w:ascii="黑体" w:eastAsia="黑体" w:hAnsi="黑体" w:cs="黑体"/>
                <w:bCs/>
                <w:color w:val="000000"/>
                <w:kern w:val="0"/>
                <w:szCs w:val="32"/>
              </w:rPr>
            </w:pPr>
            <w:r>
              <w:rPr>
                <w:rFonts w:ascii="黑体" w:eastAsia="黑体" w:hAnsi="黑体" w:cs="黑体" w:hint="eastAsia"/>
                <w:bCs/>
                <w:color w:val="000000"/>
                <w:kern w:val="0"/>
                <w:szCs w:val="32"/>
              </w:rPr>
              <w:t>备注</w:t>
            </w:r>
          </w:p>
        </w:tc>
      </w:tr>
      <w:tr w:rsidR="00AF5EF0">
        <w:trPr>
          <w:trHeight w:val="1319"/>
        </w:trPr>
        <w:tc>
          <w:tcPr>
            <w:tcW w:w="9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人才</w:t>
            </w:r>
          </w:p>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辅助性</w:t>
            </w:r>
          </w:p>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指标</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社保缴纳</w:t>
            </w:r>
          </w:p>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时长</w:t>
            </w:r>
          </w:p>
        </w:tc>
        <w:tc>
          <w:tcPr>
            <w:tcW w:w="5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在青缴纳城镇职工社会保险时长，每月0.1分</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最高</w:t>
            </w:r>
          </w:p>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10分</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751"/>
        </w:trPr>
        <w:tc>
          <w:tcPr>
            <w:tcW w:w="9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人才加分指标</w:t>
            </w:r>
          </w:p>
        </w:tc>
        <w:tc>
          <w:tcPr>
            <w:tcW w:w="13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配偶情况</w:t>
            </w:r>
          </w:p>
        </w:tc>
        <w:tc>
          <w:tcPr>
            <w:tcW w:w="543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配偶在青工作的按照配偶的人才类别指标得分×5.55%计算</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最高不超过5分</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454"/>
        </w:trPr>
        <w:tc>
          <w:tcPr>
            <w:tcW w:w="94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户籍情况</w:t>
            </w:r>
          </w:p>
        </w:tc>
        <w:tc>
          <w:tcPr>
            <w:tcW w:w="543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已在青岛市落户的</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454"/>
        </w:trPr>
        <w:tc>
          <w:tcPr>
            <w:tcW w:w="94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高层次人才加分</w:t>
            </w:r>
          </w:p>
        </w:tc>
        <w:tc>
          <w:tcPr>
            <w:tcW w:w="54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《青岛市高层次人才分类目录》中规定的A类人才</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80</w:t>
            </w:r>
          </w:p>
        </w:tc>
        <w:tc>
          <w:tcPr>
            <w:tcW w:w="93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多项</w:t>
            </w:r>
            <w:proofErr w:type="gramStart"/>
            <w:r>
              <w:rPr>
                <w:rFonts w:ascii="仿宋_GB2312" w:eastAsia="仿宋_GB2312" w:hAnsi="宋体" w:cs="仿宋_GB2312" w:hint="eastAsia"/>
                <w:color w:val="000000"/>
                <w:kern w:val="0"/>
                <w:sz w:val="28"/>
                <w:szCs w:val="28"/>
              </w:rPr>
              <w:t>不</w:t>
            </w:r>
            <w:proofErr w:type="gramEnd"/>
            <w:r>
              <w:rPr>
                <w:rFonts w:ascii="仿宋_GB2312" w:eastAsia="仿宋_GB2312" w:hAnsi="宋体" w:cs="仿宋_GB2312" w:hint="eastAsia"/>
                <w:color w:val="000000"/>
                <w:kern w:val="0"/>
                <w:sz w:val="28"/>
                <w:szCs w:val="28"/>
              </w:rPr>
              <w:t>累计</w:t>
            </w:r>
          </w:p>
        </w:tc>
      </w:tr>
      <w:tr w:rsidR="00AF5EF0">
        <w:trPr>
          <w:trHeight w:val="454"/>
        </w:trPr>
        <w:tc>
          <w:tcPr>
            <w:tcW w:w="94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《青岛市高层次人才分类目录》中规定的B类人才</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60</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454"/>
        </w:trPr>
        <w:tc>
          <w:tcPr>
            <w:tcW w:w="94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《青岛市高层次人才分类目录》中规定的C类人才</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40</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454"/>
        </w:trPr>
        <w:tc>
          <w:tcPr>
            <w:tcW w:w="94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《青岛市高层次人才分类目录》中规定的D类人才</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w:t>
            </w:r>
          </w:p>
        </w:tc>
        <w:tc>
          <w:tcPr>
            <w:tcW w:w="93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454"/>
        </w:trPr>
        <w:tc>
          <w:tcPr>
            <w:tcW w:w="94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青岛市名师名校长、青岛市高层次卫生人才、青岛市文化领军人才、青岛市高层次金融人才、公共事业急需紧缺高层次人才、“青岛市首席技师”称号获得者</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w:t>
            </w:r>
          </w:p>
        </w:tc>
        <w:tc>
          <w:tcPr>
            <w:tcW w:w="936"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454"/>
        </w:trPr>
        <w:tc>
          <w:tcPr>
            <w:tcW w:w="94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其他加分</w:t>
            </w:r>
          </w:p>
        </w:tc>
        <w:tc>
          <w:tcPr>
            <w:tcW w:w="54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纳入青岛“未来之星”工程中高端人才培养计划和 “新锐”人才托举计划的人才</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w:t>
            </w:r>
          </w:p>
        </w:tc>
        <w:tc>
          <w:tcPr>
            <w:tcW w:w="93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454"/>
        </w:trPr>
        <w:tc>
          <w:tcPr>
            <w:tcW w:w="94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1395"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纳入青岛“未来之星”工程中“金种子”人才储备计划的人才</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p>
        </w:tc>
        <w:tc>
          <w:tcPr>
            <w:tcW w:w="93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454"/>
        </w:trPr>
        <w:tc>
          <w:tcPr>
            <w:tcW w:w="946"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textAlignment w:val="bottom"/>
              <w:rPr>
                <w:rFonts w:ascii="仿宋_GB2312" w:eastAsia="仿宋_GB2312" w:hAnsi="宋体" w:cs="仿宋_GB2312"/>
                <w:color w:val="000000"/>
                <w:kern w:val="0"/>
                <w:sz w:val="28"/>
                <w:szCs w:val="28"/>
              </w:rPr>
            </w:pPr>
          </w:p>
        </w:tc>
        <w:tc>
          <w:tcPr>
            <w:tcW w:w="1395" w:type="dxa"/>
            <w:vMerge/>
            <w:tcBorders>
              <w:left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持有博士后证书的人才</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r w:rsidR="00AF5EF0">
        <w:trPr>
          <w:trHeight w:val="454"/>
        </w:trPr>
        <w:tc>
          <w:tcPr>
            <w:tcW w:w="946"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textAlignment w:val="bottom"/>
              <w:rPr>
                <w:rFonts w:ascii="仿宋_GB2312" w:eastAsia="仿宋_GB2312" w:hAnsi="宋体" w:cs="仿宋_GB2312"/>
                <w:color w:val="000000"/>
                <w:kern w:val="0"/>
                <w:sz w:val="28"/>
                <w:szCs w:val="28"/>
              </w:rPr>
            </w:pPr>
          </w:p>
        </w:tc>
        <w:tc>
          <w:tcPr>
            <w:tcW w:w="1395"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textAlignment w:val="bottom"/>
              <w:rPr>
                <w:rFonts w:ascii="仿宋_GB2312" w:eastAsia="仿宋_GB2312" w:hAnsi="宋体" w:cs="仿宋_GB2312"/>
                <w:color w:val="000000"/>
                <w:kern w:val="0"/>
                <w:sz w:val="28"/>
                <w:szCs w:val="28"/>
              </w:rPr>
            </w:pPr>
          </w:p>
        </w:tc>
        <w:tc>
          <w:tcPr>
            <w:tcW w:w="543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AF5EF0" w:rsidRDefault="00915713">
            <w:pPr>
              <w:widowControl/>
              <w:tabs>
                <w:tab w:val="left" w:pos="2940"/>
              </w:tabs>
              <w:spacing w:line="360" w:lineRule="exact"/>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青岛市新冠肺炎疫情防控一线医务人员</w:t>
            </w:r>
          </w:p>
        </w:tc>
        <w:tc>
          <w:tcPr>
            <w:tcW w:w="96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AF5EF0" w:rsidRDefault="00915713">
            <w:pPr>
              <w:widowControl/>
              <w:tabs>
                <w:tab w:val="left" w:pos="2940"/>
              </w:tabs>
              <w:spacing w:line="360" w:lineRule="exact"/>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p>
        </w:tc>
        <w:tc>
          <w:tcPr>
            <w:tcW w:w="9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5EF0" w:rsidRDefault="00AF5EF0">
            <w:pPr>
              <w:widowControl/>
              <w:tabs>
                <w:tab w:val="left" w:pos="2940"/>
              </w:tabs>
              <w:spacing w:line="360" w:lineRule="exact"/>
              <w:jc w:val="center"/>
              <w:textAlignment w:val="bottom"/>
              <w:rPr>
                <w:rFonts w:ascii="仿宋_GB2312" w:eastAsia="仿宋_GB2312" w:hAnsi="宋体" w:cs="仿宋_GB2312"/>
                <w:color w:val="000000"/>
                <w:kern w:val="0"/>
                <w:sz w:val="28"/>
                <w:szCs w:val="28"/>
              </w:rPr>
            </w:pPr>
          </w:p>
        </w:tc>
      </w:tr>
    </w:tbl>
    <w:p w:rsidR="00AF5EF0" w:rsidRDefault="00915713">
      <w:pPr>
        <w:rPr>
          <w:rFonts w:ascii="黑体" w:eastAsia="黑体" w:hAnsi="黑体" w:cs="黑体"/>
        </w:rPr>
      </w:pPr>
      <w:r>
        <w:br w:type="page"/>
      </w:r>
      <w:r>
        <w:rPr>
          <w:rFonts w:ascii="黑体" w:eastAsia="黑体" w:hAnsi="黑体" w:cs="黑体" w:hint="eastAsia"/>
        </w:rPr>
        <w:lastRenderedPageBreak/>
        <w:t>附件2</w:t>
      </w:r>
    </w:p>
    <w:p w:rsidR="00AF5EF0" w:rsidRDefault="00915713">
      <w:pPr>
        <w:spacing w:line="700" w:lineRule="exact"/>
        <w:jc w:val="center"/>
        <w:rPr>
          <w:rFonts w:ascii="黑体" w:eastAsia="黑体" w:hAnsi="黑体" w:cs="黑体"/>
          <w:sz w:val="44"/>
          <w:szCs w:val="44"/>
        </w:rPr>
      </w:pPr>
      <w:r>
        <w:rPr>
          <w:rFonts w:ascii="方正小标宋_GBK" w:eastAsia="方正小标宋_GBK" w:hint="eastAsia"/>
          <w:sz w:val="44"/>
          <w:szCs w:val="44"/>
        </w:rPr>
        <w:t>青岛市人才住房人才</w:t>
      </w:r>
      <w:r>
        <w:rPr>
          <w:rFonts w:ascii="方正小标宋_GBK" w:eastAsia="方正小标宋_GBK"/>
          <w:sz w:val="44"/>
          <w:szCs w:val="44"/>
        </w:rPr>
        <w:t>类别及</w:t>
      </w:r>
      <w:r>
        <w:rPr>
          <w:rFonts w:ascii="方正小标宋_GBK" w:eastAsia="方正小标宋_GBK" w:hint="eastAsia"/>
          <w:sz w:val="44"/>
          <w:szCs w:val="44"/>
        </w:rPr>
        <w:t>住房面积标准</w:t>
      </w:r>
    </w:p>
    <w:tbl>
      <w:tblPr>
        <w:tblpPr w:leftFromText="180" w:rightFromText="180" w:vertAnchor="text" w:horzAnchor="margin" w:tblpXSpec="center" w:tblpY="345"/>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3"/>
        <w:gridCol w:w="2231"/>
      </w:tblGrid>
      <w:tr w:rsidR="00AF5EF0">
        <w:trPr>
          <w:trHeight w:val="760"/>
        </w:trPr>
        <w:tc>
          <w:tcPr>
            <w:tcW w:w="7533" w:type="dxa"/>
            <w:tcBorders>
              <w:top w:val="single" w:sz="8" w:space="0" w:color="auto"/>
            </w:tcBorders>
            <w:vAlign w:val="center"/>
          </w:tcPr>
          <w:p w:rsidR="00AF5EF0" w:rsidRDefault="00915713">
            <w:pPr>
              <w:spacing w:line="340" w:lineRule="exact"/>
              <w:jc w:val="center"/>
              <w:rPr>
                <w:rFonts w:eastAsia="黑体"/>
                <w:szCs w:val="32"/>
              </w:rPr>
            </w:pPr>
            <w:r>
              <w:rPr>
                <w:rFonts w:eastAsia="黑体"/>
                <w:szCs w:val="32"/>
              </w:rPr>
              <w:t>人才类别</w:t>
            </w:r>
          </w:p>
        </w:tc>
        <w:tc>
          <w:tcPr>
            <w:tcW w:w="2231" w:type="dxa"/>
            <w:tcBorders>
              <w:top w:val="single" w:sz="8" w:space="0" w:color="auto"/>
              <w:right w:val="single" w:sz="8" w:space="0" w:color="auto"/>
            </w:tcBorders>
            <w:vAlign w:val="center"/>
          </w:tcPr>
          <w:p w:rsidR="00AF5EF0" w:rsidRDefault="00915713">
            <w:pPr>
              <w:spacing w:line="340" w:lineRule="exact"/>
              <w:jc w:val="center"/>
              <w:rPr>
                <w:rFonts w:eastAsia="黑体"/>
                <w:szCs w:val="32"/>
              </w:rPr>
            </w:pPr>
            <w:r>
              <w:rPr>
                <w:rFonts w:eastAsia="黑体"/>
                <w:szCs w:val="32"/>
              </w:rPr>
              <w:t>住房建筑面积标准（</w:t>
            </w:r>
            <w:r>
              <w:rPr>
                <w:szCs w:val="32"/>
              </w:rPr>
              <w:t>㎡</w:t>
            </w:r>
            <w:r>
              <w:rPr>
                <w:rFonts w:eastAsia="黑体"/>
                <w:szCs w:val="32"/>
              </w:rPr>
              <w:t>）</w:t>
            </w:r>
          </w:p>
        </w:tc>
      </w:tr>
      <w:tr w:rsidR="00AF5EF0">
        <w:trPr>
          <w:trHeight w:val="90"/>
        </w:trPr>
        <w:tc>
          <w:tcPr>
            <w:tcW w:w="7533" w:type="dxa"/>
            <w:vAlign w:val="center"/>
          </w:tcPr>
          <w:p w:rsidR="00AF5EF0" w:rsidRDefault="00915713">
            <w:pPr>
              <w:widowControl/>
              <w:spacing w:line="360" w:lineRule="exact"/>
              <w:jc w:val="left"/>
              <w:rPr>
                <w:rFonts w:eastAsia="仿宋_GB2312"/>
                <w:sz w:val="28"/>
                <w:szCs w:val="28"/>
              </w:rPr>
            </w:pPr>
            <w:r>
              <w:rPr>
                <w:rFonts w:eastAsia="仿宋_GB2312"/>
                <w:sz w:val="28"/>
                <w:szCs w:val="28"/>
              </w:rPr>
              <w:t>中国科学院院士和中国工程院院士</w:t>
            </w:r>
            <w:r>
              <w:rPr>
                <w:rFonts w:eastAsia="仿宋_GB2312" w:hint="eastAsia"/>
                <w:sz w:val="28"/>
                <w:szCs w:val="28"/>
              </w:rPr>
              <w:t>；</w:t>
            </w:r>
            <w:r>
              <w:rPr>
                <w:rFonts w:ascii="仿宋_GB2312" w:eastAsia="仿宋_GB2312" w:hAnsi="宋体" w:cs="仿宋_GB2312" w:hint="eastAsia"/>
                <w:color w:val="000000"/>
                <w:kern w:val="0"/>
                <w:sz w:val="28"/>
                <w:szCs w:val="28"/>
              </w:rPr>
              <w:t>《青岛市高层次人才分类目录》中规定的其他A类人才</w:t>
            </w:r>
            <w:r>
              <w:rPr>
                <w:rFonts w:eastAsia="仿宋_GB2312" w:hint="eastAsia"/>
                <w:sz w:val="28"/>
                <w:szCs w:val="28"/>
              </w:rPr>
              <w:t>；</w:t>
            </w:r>
            <w:r>
              <w:rPr>
                <w:rFonts w:eastAsia="仿宋_GB2312"/>
                <w:sz w:val="28"/>
                <w:szCs w:val="28"/>
              </w:rPr>
              <w:t>其他相应层次人员</w:t>
            </w:r>
            <w:r>
              <w:rPr>
                <w:rFonts w:eastAsia="仿宋_GB2312" w:hint="eastAsia"/>
                <w:sz w:val="28"/>
                <w:szCs w:val="28"/>
              </w:rPr>
              <w:t>。</w:t>
            </w:r>
          </w:p>
        </w:tc>
        <w:tc>
          <w:tcPr>
            <w:tcW w:w="2231" w:type="dxa"/>
            <w:tcBorders>
              <w:right w:val="single" w:sz="8" w:space="0" w:color="auto"/>
            </w:tcBorders>
            <w:vAlign w:val="center"/>
          </w:tcPr>
          <w:p w:rsidR="00AF5EF0" w:rsidRDefault="00915713">
            <w:pPr>
              <w:widowControl/>
              <w:spacing w:line="360" w:lineRule="exact"/>
              <w:jc w:val="center"/>
              <w:rPr>
                <w:rFonts w:hAnsi="宋体" w:cs="宋体"/>
                <w:kern w:val="0"/>
                <w:sz w:val="28"/>
                <w:szCs w:val="28"/>
              </w:rPr>
            </w:pPr>
            <w:r>
              <w:rPr>
                <w:rFonts w:hAnsi="宋体" w:cs="宋体" w:hint="eastAsia"/>
                <w:kern w:val="0"/>
                <w:sz w:val="28"/>
                <w:szCs w:val="28"/>
              </w:rPr>
              <w:t>180</w:t>
            </w:r>
          </w:p>
        </w:tc>
      </w:tr>
      <w:tr w:rsidR="00AF5EF0">
        <w:trPr>
          <w:trHeight w:val="2113"/>
        </w:trPr>
        <w:tc>
          <w:tcPr>
            <w:tcW w:w="7533" w:type="dxa"/>
            <w:vAlign w:val="center"/>
          </w:tcPr>
          <w:p w:rsidR="00AF5EF0" w:rsidRDefault="00915713">
            <w:pPr>
              <w:widowControl/>
              <w:spacing w:line="360" w:lineRule="exact"/>
              <w:jc w:val="left"/>
              <w:rPr>
                <w:rFonts w:eastAsia="仿宋_GB2312"/>
                <w:sz w:val="28"/>
                <w:szCs w:val="28"/>
              </w:rPr>
            </w:pPr>
            <w:r>
              <w:rPr>
                <w:rFonts w:eastAsia="仿宋_GB2312" w:hint="eastAsia"/>
                <w:sz w:val="28"/>
                <w:szCs w:val="28"/>
              </w:rPr>
              <w:t>国家有突出贡献的中青年专家；长江学者；中国科学院百人计划人选；国家级重点人才工程人选；国家特支计划人选；科技部重大计划项目主要负责人；新世纪百千万人才工程国家级人选；国家杰出青年科学基金获得者；国家级教学名师；获国家自然科学奖、国家技术发明奖、国家科学技术进步奖</w:t>
            </w:r>
            <w:proofErr w:type="gramStart"/>
            <w:r>
              <w:rPr>
                <w:rFonts w:eastAsia="仿宋_GB2312" w:hint="eastAsia"/>
                <w:sz w:val="28"/>
                <w:szCs w:val="28"/>
              </w:rPr>
              <w:t>一</w:t>
            </w:r>
            <w:proofErr w:type="gramEnd"/>
            <w:r>
              <w:rPr>
                <w:rFonts w:eastAsia="仿宋_GB2312" w:hint="eastAsia"/>
                <w:sz w:val="28"/>
                <w:szCs w:val="28"/>
              </w:rPr>
              <w:t>二等奖的前</w:t>
            </w:r>
            <w:r>
              <w:rPr>
                <w:rFonts w:eastAsia="仿宋_GB2312" w:hint="eastAsia"/>
                <w:sz w:val="28"/>
                <w:szCs w:val="28"/>
              </w:rPr>
              <w:t>3</w:t>
            </w:r>
            <w:r>
              <w:rPr>
                <w:rFonts w:eastAsia="仿宋_GB2312" w:hint="eastAsia"/>
                <w:sz w:val="28"/>
                <w:szCs w:val="28"/>
              </w:rPr>
              <w:t>位完成人；入选国家创新人才推进计划的高层次人才；享誉国内外的经济学家、大师级文化艺术名家和知名人士；国际产业技术体系首席科</w:t>
            </w:r>
            <w:r>
              <w:rPr>
                <w:rFonts w:eastAsia="仿宋_GB2312" w:hint="eastAsia"/>
                <w:spacing w:val="-6"/>
                <w:sz w:val="28"/>
                <w:szCs w:val="28"/>
              </w:rPr>
              <w:t>学家；</w:t>
            </w:r>
            <w:r>
              <w:rPr>
                <w:rFonts w:ascii="仿宋_GB2312" w:eastAsia="仿宋_GB2312" w:hAnsi="宋体" w:cs="仿宋_GB2312" w:hint="eastAsia"/>
                <w:color w:val="000000"/>
                <w:spacing w:val="-6"/>
                <w:kern w:val="0"/>
                <w:sz w:val="28"/>
                <w:szCs w:val="28"/>
              </w:rPr>
              <w:t>《青岛市高层次人才分类目录》中规定的其他B类人才</w:t>
            </w:r>
            <w:r>
              <w:rPr>
                <w:rFonts w:eastAsia="仿宋_GB2312" w:hint="eastAsia"/>
                <w:spacing w:val="-6"/>
                <w:sz w:val="28"/>
                <w:szCs w:val="28"/>
              </w:rPr>
              <w:t>；</w:t>
            </w:r>
            <w:r>
              <w:rPr>
                <w:rFonts w:eastAsia="仿宋_GB2312"/>
                <w:spacing w:val="-6"/>
                <w:sz w:val="28"/>
                <w:szCs w:val="28"/>
              </w:rPr>
              <w:t>其他相应层次人员</w:t>
            </w:r>
            <w:r>
              <w:rPr>
                <w:rFonts w:eastAsia="仿宋_GB2312" w:hint="eastAsia"/>
                <w:spacing w:val="-6"/>
                <w:sz w:val="28"/>
                <w:szCs w:val="28"/>
              </w:rPr>
              <w:t>。</w:t>
            </w:r>
          </w:p>
        </w:tc>
        <w:tc>
          <w:tcPr>
            <w:tcW w:w="2231" w:type="dxa"/>
            <w:tcBorders>
              <w:right w:val="single" w:sz="8" w:space="0" w:color="auto"/>
            </w:tcBorders>
            <w:vAlign w:val="center"/>
          </w:tcPr>
          <w:p w:rsidR="00AF5EF0" w:rsidRDefault="00915713">
            <w:pPr>
              <w:widowControl/>
              <w:spacing w:line="360" w:lineRule="exact"/>
              <w:jc w:val="center"/>
              <w:rPr>
                <w:rFonts w:hAnsi="宋体" w:cs="宋体"/>
                <w:kern w:val="0"/>
                <w:sz w:val="28"/>
                <w:szCs w:val="28"/>
              </w:rPr>
            </w:pPr>
            <w:r>
              <w:rPr>
                <w:rFonts w:hAnsi="宋体" w:cs="宋体" w:hint="eastAsia"/>
                <w:kern w:val="0"/>
                <w:sz w:val="28"/>
                <w:szCs w:val="28"/>
              </w:rPr>
              <w:t>140</w:t>
            </w:r>
          </w:p>
        </w:tc>
      </w:tr>
      <w:tr w:rsidR="00AF5EF0">
        <w:trPr>
          <w:trHeight w:val="2624"/>
        </w:trPr>
        <w:tc>
          <w:tcPr>
            <w:tcW w:w="7533" w:type="dxa"/>
            <w:vAlign w:val="center"/>
          </w:tcPr>
          <w:p w:rsidR="00AF5EF0" w:rsidRDefault="00915713">
            <w:pPr>
              <w:widowControl/>
              <w:spacing w:line="360" w:lineRule="exact"/>
              <w:jc w:val="left"/>
              <w:rPr>
                <w:rFonts w:eastAsia="仿宋_GB2312"/>
                <w:sz w:val="28"/>
                <w:szCs w:val="28"/>
              </w:rPr>
            </w:pPr>
            <w:r>
              <w:rPr>
                <w:rFonts w:eastAsia="仿宋_GB2312" w:hint="eastAsia"/>
                <w:sz w:val="28"/>
                <w:szCs w:val="28"/>
              </w:rPr>
              <w:t>享受国务院政府特殊津贴人员；省部级有突出贡献的中青年专家、山东省“泰山学者”、省“泰山学者海外特聘专家”；一级演职人员；培养出在奥运会或世锦赛上夺得金牌的运动员的国家级教练员；获省自然科学奖、技术发明奖、科学技术进步奖一等奖的前</w:t>
            </w:r>
            <w:r>
              <w:rPr>
                <w:rFonts w:eastAsia="仿宋_GB2312" w:hint="eastAsia"/>
                <w:sz w:val="28"/>
                <w:szCs w:val="28"/>
              </w:rPr>
              <w:t>2</w:t>
            </w:r>
            <w:r>
              <w:rPr>
                <w:rFonts w:eastAsia="仿宋_GB2312" w:hint="eastAsia"/>
                <w:sz w:val="28"/>
                <w:szCs w:val="28"/>
              </w:rPr>
              <w:t>位完成人；获中华技能大奖或全国技术能手的高技能人才；青岛市创业创新领军人才；青岛拔尖人才；青岛市特聘专家突出贡献奖获得者；青岛市名师名校长、青岛市高层次卫生人才、青岛市文化领军人才和青岛高层次金融人才；公共事业急需高层次人才；正高职称人员；</w:t>
            </w:r>
            <w:r>
              <w:rPr>
                <w:rFonts w:ascii="仿宋_GB2312" w:eastAsia="仿宋_GB2312" w:hAnsi="宋体" w:cs="仿宋_GB2312" w:hint="eastAsia"/>
                <w:color w:val="000000"/>
                <w:kern w:val="0"/>
                <w:sz w:val="28"/>
                <w:szCs w:val="28"/>
              </w:rPr>
              <w:t>《青岛市高层次人才分类目录》中规定的其他C类和D类人才</w:t>
            </w:r>
            <w:r>
              <w:rPr>
                <w:rFonts w:eastAsia="仿宋_GB2312" w:hint="eastAsia"/>
                <w:sz w:val="28"/>
                <w:szCs w:val="28"/>
              </w:rPr>
              <w:t>；</w:t>
            </w:r>
            <w:r>
              <w:rPr>
                <w:rFonts w:eastAsia="仿宋_GB2312"/>
                <w:sz w:val="28"/>
                <w:szCs w:val="28"/>
              </w:rPr>
              <w:t>其他相应层次人员</w:t>
            </w:r>
            <w:r>
              <w:rPr>
                <w:rFonts w:eastAsia="仿宋_GB2312" w:hint="eastAsia"/>
                <w:sz w:val="28"/>
                <w:szCs w:val="28"/>
              </w:rPr>
              <w:t>。</w:t>
            </w:r>
          </w:p>
        </w:tc>
        <w:tc>
          <w:tcPr>
            <w:tcW w:w="2231" w:type="dxa"/>
            <w:tcBorders>
              <w:right w:val="single" w:sz="8" w:space="0" w:color="auto"/>
            </w:tcBorders>
            <w:vAlign w:val="center"/>
          </w:tcPr>
          <w:p w:rsidR="00AF5EF0" w:rsidRDefault="00915713">
            <w:pPr>
              <w:spacing w:line="360" w:lineRule="exact"/>
              <w:jc w:val="center"/>
              <w:rPr>
                <w:rFonts w:hAnsi="宋体" w:cs="宋体"/>
                <w:kern w:val="0"/>
                <w:sz w:val="28"/>
                <w:szCs w:val="28"/>
              </w:rPr>
            </w:pPr>
            <w:r>
              <w:rPr>
                <w:rFonts w:hAnsi="宋体" w:cs="宋体" w:hint="eastAsia"/>
                <w:kern w:val="0"/>
                <w:sz w:val="28"/>
                <w:szCs w:val="28"/>
              </w:rPr>
              <w:t>120</w:t>
            </w:r>
          </w:p>
        </w:tc>
      </w:tr>
      <w:tr w:rsidR="00AF5EF0">
        <w:trPr>
          <w:trHeight w:val="1399"/>
        </w:trPr>
        <w:tc>
          <w:tcPr>
            <w:tcW w:w="7533" w:type="dxa"/>
            <w:vAlign w:val="center"/>
          </w:tcPr>
          <w:p w:rsidR="00AF5EF0" w:rsidRDefault="00915713">
            <w:pPr>
              <w:widowControl/>
              <w:spacing w:line="360" w:lineRule="exact"/>
              <w:jc w:val="left"/>
              <w:rPr>
                <w:rFonts w:eastAsia="仿宋_GB2312"/>
                <w:sz w:val="28"/>
                <w:szCs w:val="28"/>
              </w:rPr>
            </w:pPr>
            <w:r>
              <w:rPr>
                <w:rFonts w:eastAsia="仿宋_GB2312" w:hint="eastAsia"/>
                <w:sz w:val="28"/>
                <w:szCs w:val="28"/>
              </w:rPr>
              <w:t>博士；副高职称人员；来</w:t>
            </w:r>
            <w:proofErr w:type="gramStart"/>
            <w:r>
              <w:rPr>
                <w:rFonts w:eastAsia="仿宋_GB2312" w:hint="eastAsia"/>
                <w:sz w:val="28"/>
                <w:szCs w:val="28"/>
              </w:rPr>
              <w:t>青投资</w:t>
            </w:r>
            <w:proofErr w:type="gramEnd"/>
            <w:r>
              <w:rPr>
                <w:rFonts w:eastAsia="仿宋_GB2312" w:hint="eastAsia"/>
                <w:sz w:val="28"/>
                <w:szCs w:val="28"/>
              </w:rPr>
              <w:t>创业一次性投资额在</w:t>
            </w:r>
            <w:r>
              <w:rPr>
                <w:rFonts w:eastAsia="仿宋_GB2312" w:hint="eastAsia"/>
                <w:sz w:val="28"/>
                <w:szCs w:val="28"/>
              </w:rPr>
              <w:t>300</w:t>
            </w:r>
            <w:r>
              <w:rPr>
                <w:rFonts w:eastAsia="仿宋_GB2312" w:hint="eastAsia"/>
                <w:sz w:val="28"/>
                <w:szCs w:val="28"/>
              </w:rPr>
              <w:t>万元人民币以上，并年缴税额在</w:t>
            </w:r>
            <w:r>
              <w:rPr>
                <w:rFonts w:eastAsia="仿宋_GB2312" w:hint="eastAsia"/>
                <w:sz w:val="28"/>
                <w:szCs w:val="28"/>
              </w:rPr>
              <w:t>30</w:t>
            </w:r>
            <w:r>
              <w:rPr>
                <w:rFonts w:eastAsia="仿宋_GB2312" w:hint="eastAsia"/>
                <w:sz w:val="28"/>
                <w:szCs w:val="28"/>
              </w:rPr>
              <w:t>万元以上或企业聘用本市员工</w:t>
            </w:r>
            <w:r>
              <w:rPr>
                <w:rFonts w:eastAsia="仿宋_GB2312" w:hint="eastAsia"/>
                <w:sz w:val="28"/>
                <w:szCs w:val="28"/>
              </w:rPr>
              <w:t>30</w:t>
            </w:r>
            <w:r>
              <w:rPr>
                <w:rFonts w:eastAsia="仿宋_GB2312" w:hint="eastAsia"/>
                <w:sz w:val="28"/>
                <w:szCs w:val="28"/>
              </w:rPr>
              <w:t>人以上人员；“山东省首席技师、青岛市首席技师、青岛（技能型）拔尖人才”等称号获得者；</w:t>
            </w:r>
            <w:r>
              <w:rPr>
                <w:rFonts w:eastAsia="仿宋_GB2312" w:hint="eastAsia"/>
                <w:spacing w:val="-6"/>
                <w:sz w:val="28"/>
                <w:szCs w:val="28"/>
              </w:rPr>
              <w:t>近三年个人所得税年度平均纳税总额</w:t>
            </w:r>
            <w:r>
              <w:rPr>
                <w:rFonts w:eastAsia="仿宋_GB2312" w:hint="eastAsia"/>
                <w:spacing w:val="-6"/>
                <w:sz w:val="28"/>
                <w:szCs w:val="28"/>
              </w:rPr>
              <w:t>12</w:t>
            </w:r>
            <w:r>
              <w:rPr>
                <w:rFonts w:eastAsia="仿宋_GB2312" w:hint="eastAsia"/>
                <w:spacing w:val="-6"/>
                <w:sz w:val="28"/>
                <w:szCs w:val="28"/>
              </w:rPr>
              <w:t>万元及以上人员；</w:t>
            </w:r>
            <w:r>
              <w:rPr>
                <w:rFonts w:eastAsia="仿宋_GB2312"/>
                <w:spacing w:val="-6"/>
                <w:sz w:val="28"/>
                <w:szCs w:val="28"/>
              </w:rPr>
              <w:t>其他相应层次人员</w:t>
            </w:r>
            <w:r>
              <w:rPr>
                <w:rFonts w:eastAsia="仿宋_GB2312" w:hint="eastAsia"/>
                <w:spacing w:val="-6"/>
                <w:sz w:val="28"/>
                <w:szCs w:val="28"/>
              </w:rPr>
              <w:t>。</w:t>
            </w:r>
          </w:p>
        </w:tc>
        <w:tc>
          <w:tcPr>
            <w:tcW w:w="2231" w:type="dxa"/>
            <w:tcBorders>
              <w:right w:val="single" w:sz="8" w:space="0" w:color="auto"/>
            </w:tcBorders>
            <w:vAlign w:val="center"/>
          </w:tcPr>
          <w:p w:rsidR="00AF5EF0" w:rsidRDefault="00915713">
            <w:pPr>
              <w:widowControl/>
              <w:spacing w:line="360" w:lineRule="exact"/>
              <w:jc w:val="center"/>
              <w:rPr>
                <w:rFonts w:hAnsi="宋体" w:cs="宋体"/>
                <w:kern w:val="0"/>
                <w:sz w:val="28"/>
                <w:szCs w:val="28"/>
              </w:rPr>
            </w:pPr>
            <w:r>
              <w:rPr>
                <w:rFonts w:hAnsi="宋体" w:cs="宋体" w:hint="eastAsia"/>
                <w:kern w:val="0"/>
                <w:sz w:val="28"/>
                <w:szCs w:val="28"/>
              </w:rPr>
              <w:t>90</w:t>
            </w:r>
          </w:p>
        </w:tc>
      </w:tr>
      <w:tr w:rsidR="00AF5EF0">
        <w:trPr>
          <w:trHeight w:val="889"/>
        </w:trPr>
        <w:tc>
          <w:tcPr>
            <w:tcW w:w="7533" w:type="dxa"/>
            <w:vAlign w:val="center"/>
          </w:tcPr>
          <w:p w:rsidR="00AF5EF0" w:rsidRDefault="00915713">
            <w:pPr>
              <w:spacing w:line="360" w:lineRule="exact"/>
              <w:jc w:val="center"/>
              <w:rPr>
                <w:rFonts w:ascii="黑体" w:eastAsia="黑体" w:hAnsi="黑体" w:cs="黑体"/>
                <w:szCs w:val="32"/>
              </w:rPr>
            </w:pPr>
            <w:r>
              <w:rPr>
                <w:rFonts w:ascii="黑体" w:eastAsia="黑体" w:hAnsi="黑体" w:cs="黑体" w:hint="eastAsia"/>
                <w:szCs w:val="32"/>
              </w:rPr>
              <w:lastRenderedPageBreak/>
              <w:t>人才类别</w:t>
            </w:r>
          </w:p>
        </w:tc>
        <w:tc>
          <w:tcPr>
            <w:tcW w:w="2231" w:type="dxa"/>
            <w:tcBorders>
              <w:right w:val="single" w:sz="8" w:space="0" w:color="auto"/>
            </w:tcBorders>
            <w:vAlign w:val="center"/>
          </w:tcPr>
          <w:p w:rsidR="00AF5EF0" w:rsidRDefault="00915713">
            <w:pPr>
              <w:spacing w:line="360" w:lineRule="exact"/>
              <w:jc w:val="center"/>
              <w:rPr>
                <w:rFonts w:ascii="黑体" w:eastAsia="黑体" w:hAnsi="黑体" w:cs="黑体"/>
                <w:szCs w:val="32"/>
              </w:rPr>
            </w:pPr>
            <w:r>
              <w:rPr>
                <w:rFonts w:ascii="黑体" w:eastAsia="黑体" w:hAnsi="黑体" w:cs="黑体" w:hint="eastAsia"/>
                <w:szCs w:val="32"/>
              </w:rPr>
              <w:t>住房建筑面积标准（㎡）</w:t>
            </w:r>
          </w:p>
        </w:tc>
      </w:tr>
      <w:tr w:rsidR="00AF5EF0">
        <w:trPr>
          <w:trHeight w:val="660"/>
        </w:trPr>
        <w:tc>
          <w:tcPr>
            <w:tcW w:w="7533" w:type="dxa"/>
            <w:vAlign w:val="center"/>
          </w:tcPr>
          <w:p w:rsidR="00AF5EF0" w:rsidRDefault="00915713">
            <w:pPr>
              <w:widowControl/>
              <w:spacing w:line="360" w:lineRule="exact"/>
              <w:rPr>
                <w:rFonts w:eastAsia="仿宋_GB2312"/>
                <w:sz w:val="28"/>
                <w:szCs w:val="28"/>
              </w:rPr>
            </w:pPr>
            <w:r>
              <w:rPr>
                <w:rFonts w:eastAsia="仿宋_GB2312" w:hint="eastAsia"/>
                <w:sz w:val="28"/>
                <w:szCs w:val="28"/>
              </w:rPr>
              <w:t>硕士；中级职称人员</w:t>
            </w:r>
            <w:r>
              <w:rPr>
                <w:rFonts w:eastAsia="仿宋_GB2312"/>
                <w:sz w:val="28"/>
                <w:szCs w:val="28"/>
              </w:rPr>
              <w:t>；</w:t>
            </w:r>
            <w:r>
              <w:rPr>
                <w:rFonts w:eastAsia="仿宋_GB2312" w:hint="eastAsia"/>
                <w:sz w:val="28"/>
                <w:szCs w:val="28"/>
              </w:rPr>
              <w:t>高级技师；近三年个人所得税年度平均纳税总额</w:t>
            </w:r>
            <w:r>
              <w:rPr>
                <w:rFonts w:eastAsia="仿宋_GB2312" w:hint="eastAsia"/>
                <w:sz w:val="28"/>
                <w:szCs w:val="28"/>
              </w:rPr>
              <w:t>4</w:t>
            </w:r>
            <w:r>
              <w:rPr>
                <w:rFonts w:eastAsia="仿宋_GB2312" w:hint="eastAsia"/>
                <w:sz w:val="28"/>
                <w:szCs w:val="28"/>
              </w:rPr>
              <w:t>万元</w:t>
            </w:r>
            <w:r>
              <w:rPr>
                <w:rFonts w:eastAsia="仿宋_GB2312" w:hint="eastAsia"/>
                <w:sz w:val="28"/>
                <w:szCs w:val="28"/>
              </w:rPr>
              <w:t>-12</w:t>
            </w:r>
            <w:r>
              <w:rPr>
                <w:rFonts w:eastAsia="仿宋_GB2312" w:hint="eastAsia"/>
                <w:sz w:val="28"/>
                <w:szCs w:val="28"/>
              </w:rPr>
              <w:t>万元人员；</w:t>
            </w:r>
            <w:r>
              <w:rPr>
                <w:rFonts w:eastAsia="仿宋_GB2312"/>
                <w:sz w:val="28"/>
                <w:szCs w:val="28"/>
              </w:rPr>
              <w:t>其他相应层次人员</w:t>
            </w:r>
            <w:r>
              <w:rPr>
                <w:rFonts w:eastAsia="仿宋_GB2312" w:hint="eastAsia"/>
                <w:sz w:val="28"/>
                <w:szCs w:val="28"/>
              </w:rPr>
              <w:t>。</w:t>
            </w:r>
          </w:p>
        </w:tc>
        <w:tc>
          <w:tcPr>
            <w:tcW w:w="2231" w:type="dxa"/>
            <w:tcBorders>
              <w:right w:val="single" w:sz="8" w:space="0" w:color="auto"/>
            </w:tcBorders>
            <w:vAlign w:val="center"/>
          </w:tcPr>
          <w:p w:rsidR="00AF5EF0" w:rsidRDefault="00915713">
            <w:pPr>
              <w:widowControl/>
              <w:spacing w:line="360" w:lineRule="exact"/>
              <w:jc w:val="center"/>
              <w:rPr>
                <w:rFonts w:hAnsi="宋体" w:cs="宋体"/>
                <w:kern w:val="0"/>
                <w:sz w:val="28"/>
                <w:szCs w:val="28"/>
              </w:rPr>
            </w:pPr>
            <w:r>
              <w:rPr>
                <w:rFonts w:hAnsi="宋体" w:cs="宋体" w:hint="eastAsia"/>
                <w:kern w:val="0"/>
                <w:sz w:val="28"/>
                <w:szCs w:val="28"/>
              </w:rPr>
              <w:t>75</w:t>
            </w:r>
          </w:p>
        </w:tc>
      </w:tr>
      <w:tr w:rsidR="00AF5EF0">
        <w:trPr>
          <w:trHeight w:val="813"/>
        </w:trPr>
        <w:tc>
          <w:tcPr>
            <w:tcW w:w="7533" w:type="dxa"/>
            <w:vAlign w:val="center"/>
          </w:tcPr>
          <w:p w:rsidR="00AF5EF0" w:rsidRDefault="00915713">
            <w:pPr>
              <w:widowControl/>
              <w:spacing w:line="360" w:lineRule="exact"/>
              <w:rPr>
                <w:rFonts w:eastAsia="仿宋_GB2312"/>
                <w:sz w:val="28"/>
                <w:szCs w:val="28"/>
              </w:rPr>
            </w:pPr>
            <w:r>
              <w:rPr>
                <w:rFonts w:eastAsia="仿宋_GB2312" w:hint="eastAsia"/>
                <w:sz w:val="28"/>
                <w:szCs w:val="28"/>
              </w:rPr>
              <w:t>全日制本科毕业生；技师；来</w:t>
            </w:r>
            <w:proofErr w:type="gramStart"/>
            <w:r>
              <w:rPr>
                <w:rFonts w:eastAsia="仿宋_GB2312" w:hint="eastAsia"/>
                <w:sz w:val="28"/>
                <w:szCs w:val="28"/>
              </w:rPr>
              <w:t>青投资</w:t>
            </w:r>
            <w:proofErr w:type="gramEnd"/>
            <w:r>
              <w:rPr>
                <w:rFonts w:eastAsia="仿宋_GB2312" w:hint="eastAsia"/>
                <w:sz w:val="28"/>
                <w:szCs w:val="28"/>
              </w:rPr>
              <w:t>创业一次性投资额在</w:t>
            </w:r>
            <w:r>
              <w:rPr>
                <w:rFonts w:eastAsia="仿宋_GB2312" w:hint="eastAsia"/>
                <w:sz w:val="28"/>
                <w:szCs w:val="28"/>
              </w:rPr>
              <w:t>100</w:t>
            </w:r>
            <w:r>
              <w:rPr>
                <w:rFonts w:eastAsia="仿宋_GB2312" w:hint="eastAsia"/>
                <w:sz w:val="28"/>
                <w:szCs w:val="28"/>
              </w:rPr>
              <w:t>万元人民币以上，并年缴税额在</w:t>
            </w:r>
            <w:r>
              <w:rPr>
                <w:rFonts w:eastAsia="仿宋_GB2312" w:hint="eastAsia"/>
                <w:sz w:val="28"/>
                <w:szCs w:val="28"/>
              </w:rPr>
              <w:t>10</w:t>
            </w:r>
            <w:r>
              <w:rPr>
                <w:rFonts w:eastAsia="仿宋_GB2312" w:hint="eastAsia"/>
                <w:sz w:val="28"/>
                <w:szCs w:val="28"/>
              </w:rPr>
              <w:t>万元以上或企业聘用本市员工</w:t>
            </w:r>
            <w:r>
              <w:rPr>
                <w:rFonts w:eastAsia="仿宋_GB2312" w:hint="eastAsia"/>
                <w:sz w:val="28"/>
                <w:szCs w:val="28"/>
              </w:rPr>
              <w:t>10</w:t>
            </w:r>
            <w:r>
              <w:rPr>
                <w:rFonts w:eastAsia="仿宋_GB2312" w:hint="eastAsia"/>
                <w:sz w:val="28"/>
                <w:szCs w:val="28"/>
              </w:rPr>
              <w:t>人以上人员</w:t>
            </w:r>
            <w:r>
              <w:rPr>
                <w:rFonts w:eastAsia="仿宋_GB2312" w:hint="eastAsia"/>
                <w:bCs/>
                <w:sz w:val="28"/>
                <w:szCs w:val="28"/>
              </w:rPr>
              <w:t>；</w:t>
            </w:r>
            <w:r>
              <w:rPr>
                <w:rFonts w:eastAsia="仿宋_GB2312"/>
                <w:sz w:val="28"/>
                <w:szCs w:val="28"/>
              </w:rPr>
              <w:t>其他相应层次人员</w:t>
            </w:r>
            <w:r>
              <w:rPr>
                <w:rFonts w:eastAsia="仿宋_GB2312" w:hint="eastAsia"/>
                <w:sz w:val="28"/>
                <w:szCs w:val="28"/>
              </w:rPr>
              <w:t>。</w:t>
            </w:r>
          </w:p>
        </w:tc>
        <w:tc>
          <w:tcPr>
            <w:tcW w:w="2231" w:type="dxa"/>
            <w:tcBorders>
              <w:right w:val="single" w:sz="8" w:space="0" w:color="auto"/>
            </w:tcBorders>
            <w:vAlign w:val="center"/>
          </w:tcPr>
          <w:p w:rsidR="00AF5EF0" w:rsidRDefault="00915713">
            <w:pPr>
              <w:widowControl/>
              <w:spacing w:line="360" w:lineRule="exact"/>
              <w:jc w:val="center"/>
              <w:rPr>
                <w:rFonts w:hAnsi="宋体" w:cs="宋体"/>
                <w:kern w:val="0"/>
                <w:sz w:val="28"/>
                <w:szCs w:val="28"/>
              </w:rPr>
            </w:pPr>
            <w:r>
              <w:rPr>
                <w:rFonts w:hAnsi="宋体" w:cs="宋体" w:hint="eastAsia"/>
                <w:kern w:val="0"/>
                <w:sz w:val="28"/>
                <w:szCs w:val="28"/>
              </w:rPr>
              <w:t>65</w:t>
            </w:r>
          </w:p>
        </w:tc>
      </w:tr>
      <w:tr w:rsidR="00AF5EF0">
        <w:trPr>
          <w:trHeight w:val="499"/>
        </w:trPr>
        <w:tc>
          <w:tcPr>
            <w:tcW w:w="7533" w:type="dxa"/>
            <w:vAlign w:val="center"/>
          </w:tcPr>
          <w:p w:rsidR="00AF5EF0" w:rsidRDefault="00915713">
            <w:pPr>
              <w:widowControl/>
              <w:spacing w:line="360" w:lineRule="exact"/>
              <w:rPr>
                <w:rFonts w:eastAsia="仿宋_GB2312"/>
                <w:sz w:val="28"/>
                <w:szCs w:val="28"/>
              </w:rPr>
            </w:pPr>
            <w:r>
              <w:rPr>
                <w:rFonts w:eastAsia="仿宋_GB2312" w:hint="eastAsia"/>
                <w:sz w:val="28"/>
                <w:szCs w:val="28"/>
              </w:rPr>
              <w:t>全日制专科毕业生；高级工。</w:t>
            </w:r>
          </w:p>
        </w:tc>
        <w:tc>
          <w:tcPr>
            <w:tcW w:w="2231" w:type="dxa"/>
            <w:tcBorders>
              <w:right w:val="single" w:sz="8" w:space="0" w:color="auto"/>
            </w:tcBorders>
            <w:vAlign w:val="center"/>
          </w:tcPr>
          <w:p w:rsidR="00AF5EF0" w:rsidRDefault="00915713">
            <w:pPr>
              <w:widowControl/>
              <w:spacing w:line="360" w:lineRule="exact"/>
              <w:jc w:val="center"/>
              <w:rPr>
                <w:rFonts w:hAnsi="宋体" w:cs="宋体"/>
                <w:kern w:val="0"/>
                <w:sz w:val="28"/>
                <w:szCs w:val="28"/>
              </w:rPr>
            </w:pPr>
            <w:r>
              <w:rPr>
                <w:rFonts w:hAnsi="宋体" w:cs="宋体"/>
                <w:kern w:val="0"/>
                <w:sz w:val="28"/>
                <w:szCs w:val="28"/>
              </w:rPr>
              <w:t>55</w:t>
            </w:r>
          </w:p>
        </w:tc>
      </w:tr>
      <w:tr w:rsidR="00AF5EF0">
        <w:trPr>
          <w:trHeight w:val="554"/>
        </w:trPr>
        <w:tc>
          <w:tcPr>
            <w:tcW w:w="7533" w:type="dxa"/>
            <w:vAlign w:val="center"/>
          </w:tcPr>
          <w:p w:rsidR="00AF5EF0" w:rsidRDefault="00915713">
            <w:pPr>
              <w:widowControl/>
              <w:spacing w:line="360" w:lineRule="exact"/>
              <w:rPr>
                <w:rFonts w:eastAsia="仿宋_GB2312"/>
                <w:sz w:val="28"/>
                <w:szCs w:val="28"/>
              </w:rPr>
            </w:pPr>
            <w:r>
              <w:rPr>
                <w:rFonts w:eastAsia="仿宋_GB2312" w:hint="eastAsia"/>
                <w:sz w:val="28"/>
                <w:szCs w:val="28"/>
              </w:rPr>
              <w:t>其他特需人才一事一议。</w:t>
            </w:r>
          </w:p>
        </w:tc>
        <w:tc>
          <w:tcPr>
            <w:tcW w:w="2231" w:type="dxa"/>
            <w:tcBorders>
              <w:right w:val="single" w:sz="8" w:space="0" w:color="auto"/>
            </w:tcBorders>
            <w:vAlign w:val="center"/>
          </w:tcPr>
          <w:p w:rsidR="00AF5EF0" w:rsidRDefault="00915713">
            <w:pPr>
              <w:widowControl/>
              <w:spacing w:line="360" w:lineRule="exact"/>
              <w:jc w:val="center"/>
              <w:rPr>
                <w:rFonts w:hAnsi="宋体" w:cs="宋体"/>
                <w:kern w:val="0"/>
                <w:sz w:val="28"/>
                <w:szCs w:val="28"/>
              </w:rPr>
            </w:pPr>
            <w:r>
              <w:rPr>
                <w:rFonts w:ascii="仿宋_GB2312" w:eastAsia="仿宋_GB2312" w:hAnsi="仿宋_GB2312" w:cs="仿宋_GB2312" w:hint="eastAsia"/>
                <w:sz w:val="28"/>
                <w:szCs w:val="28"/>
              </w:rPr>
              <w:t>根据实际情况研究</w:t>
            </w:r>
            <w:r>
              <w:rPr>
                <w:rFonts w:ascii="仿宋_GB2312" w:eastAsia="仿宋_GB2312" w:hAnsi="仿宋_GB2312" w:cs="仿宋_GB2312" w:hint="eastAsia"/>
                <w:kern w:val="0"/>
                <w:sz w:val="28"/>
                <w:szCs w:val="28"/>
              </w:rPr>
              <w:t>决定</w:t>
            </w:r>
          </w:p>
        </w:tc>
      </w:tr>
    </w:tbl>
    <w:p w:rsidR="00AF5EF0" w:rsidRDefault="00915713">
      <w:pPr>
        <w:spacing w:line="560" w:lineRule="exact"/>
        <w:rPr>
          <w:rFonts w:ascii="黑体" w:eastAsia="黑体" w:hAnsi="黑体" w:cs="黑体"/>
        </w:rPr>
      </w:pPr>
      <w:r>
        <w:rPr>
          <w:rFonts w:ascii="黑体" w:eastAsia="黑体" w:hAnsi="黑体" w:cs="黑体" w:hint="eastAsia"/>
        </w:rPr>
        <w:br w:type="page"/>
      </w:r>
      <w:r>
        <w:rPr>
          <w:rFonts w:ascii="黑体" w:eastAsia="黑体" w:hAnsi="黑体" w:cs="黑体" w:hint="eastAsia"/>
        </w:rPr>
        <w:lastRenderedPageBreak/>
        <w:t>附件3</w:t>
      </w:r>
    </w:p>
    <w:p w:rsidR="00AF5EF0" w:rsidRDefault="00915713">
      <w:pPr>
        <w:tabs>
          <w:tab w:val="left" w:pos="2940"/>
        </w:tabs>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青岛市人才住房申请材料清单</w:t>
      </w:r>
    </w:p>
    <w:p w:rsidR="00AF5EF0" w:rsidRDefault="00AF5EF0">
      <w:pPr>
        <w:tabs>
          <w:tab w:val="left" w:pos="2940"/>
        </w:tabs>
        <w:spacing w:line="600" w:lineRule="exact"/>
        <w:ind w:firstLineChars="200" w:firstLine="640"/>
        <w:jc w:val="center"/>
        <w:rPr>
          <w:rFonts w:ascii="仿宋_GB2312" w:eastAsia="仿宋_GB2312" w:hAnsi="仿宋_GB2312" w:cs="仿宋_GB2312"/>
          <w:kern w:val="0"/>
          <w:szCs w:val="32"/>
        </w:rPr>
      </w:pP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一、身份和户籍材料</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申请人及其配偶身份证件；非本市户籍申请人提供在青岛市有效的《山东省居住证》；港澳台同胞提供《台湾居民来往大陆通行证》《港澳居民来往内地通行证》或《港澳台居民居住证》；外籍人才提供护照和《外国人工作许可证》或《外国人永久居留证》。</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二、婚姻材料</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在青岛市外结婚登记的已婚申请人需提供结婚证件；有离异经历的申请人还需补充提供离婚证和离婚协议书或法院生效司法文书等；单身申请人提供单身或未婚声明。</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三、</w:t>
      </w:r>
      <w:r>
        <w:rPr>
          <w:rFonts w:ascii="黑体" w:eastAsia="黑体" w:hint="eastAsia"/>
          <w:spacing w:val="-8"/>
          <w:w w:val="95"/>
        </w:rPr>
        <w:t>人才类别材料</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（一）以学历类人才申报的中国内地居民需先通过“青岛人社·学历汇”信息采集平台对学籍学历进行确认；港澳台同胞和外籍人才需提供学历（学位）证明，在国（境）</w:t>
      </w:r>
      <w:proofErr w:type="gramStart"/>
      <w:r>
        <w:rPr>
          <w:rFonts w:ascii="仿宋_GB2312" w:eastAsia="仿宋_GB2312" w:hAnsi="仿宋_GB2312" w:cs="仿宋_GB2312" w:hint="eastAsia"/>
          <w:szCs w:val="32"/>
        </w:rPr>
        <w:t>外取得</w:t>
      </w:r>
      <w:proofErr w:type="gramEnd"/>
      <w:r>
        <w:rPr>
          <w:rFonts w:ascii="仿宋_GB2312" w:eastAsia="仿宋_GB2312" w:hAnsi="仿宋_GB2312" w:cs="仿宋_GB2312" w:hint="eastAsia"/>
          <w:szCs w:val="32"/>
        </w:rPr>
        <w:t>学历的还需经我驻外使、领馆或由申请人获得学位（学历）所在国驻华使、领馆或我国学历认证机构认证，在港澳特别行政区和台湾地区取得学历的还需经我国学历认证机构认证或经所在地区公证机构公证；</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（二）以专技类人才申报的，提供中级及以上职称证书和考评材料;在青岛市</w:t>
      </w:r>
      <w:proofErr w:type="gramStart"/>
      <w:r>
        <w:rPr>
          <w:rFonts w:ascii="仿宋_GB2312" w:eastAsia="仿宋_GB2312" w:hAnsi="仿宋_GB2312" w:cs="仿宋_GB2312" w:hint="eastAsia"/>
          <w:szCs w:val="32"/>
        </w:rPr>
        <w:t>外取得</w:t>
      </w:r>
      <w:proofErr w:type="gramEnd"/>
      <w:r>
        <w:rPr>
          <w:rFonts w:ascii="仿宋_GB2312" w:eastAsia="仿宋_GB2312" w:hAnsi="仿宋_GB2312" w:cs="仿宋_GB2312" w:hint="eastAsia"/>
          <w:szCs w:val="32"/>
        </w:rPr>
        <w:t>职称后调入我市所属企事业单位（中央、省驻</w:t>
      </w:r>
      <w:proofErr w:type="gramStart"/>
      <w:r>
        <w:rPr>
          <w:rFonts w:ascii="仿宋_GB2312" w:eastAsia="仿宋_GB2312" w:hAnsi="仿宋_GB2312" w:cs="仿宋_GB2312" w:hint="eastAsia"/>
          <w:szCs w:val="32"/>
        </w:rPr>
        <w:t>青单位</w:t>
      </w:r>
      <w:proofErr w:type="gramEnd"/>
      <w:r>
        <w:rPr>
          <w:rFonts w:ascii="仿宋_GB2312" w:eastAsia="仿宋_GB2312" w:hAnsi="仿宋_GB2312" w:cs="仿宋_GB2312" w:hint="eastAsia"/>
          <w:szCs w:val="32"/>
        </w:rPr>
        <w:t>除外）工作的，需经市或区（市）人力资源社会保障部门确认；取得《青岛市关于明确部分专业技术类职业资格和职称对应关系的通知（青人社字〔2020〕78号）》规定的与中级及以上职称对应资格证书的专业技术人员，需提供相应等级的全国专业技术人员职业资格证书，2017年以前取得的需同时提供《专业技术资格考试登记表》或《执（职）业资格考试登记表》；</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（三）以技能人才申报的，提供可经人力资源和社会保障</w:t>
      </w:r>
      <w:proofErr w:type="gramStart"/>
      <w:r>
        <w:rPr>
          <w:rFonts w:ascii="仿宋_GB2312" w:eastAsia="仿宋_GB2312" w:hAnsi="仿宋_GB2312" w:cs="仿宋_GB2312" w:hint="eastAsia"/>
          <w:szCs w:val="32"/>
        </w:rPr>
        <w:t>部职业</w:t>
      </w:r>
      <w:proofErr w:type="gramEnd"/>
      <w:r>
        <w:rPr>
          <w:rFonts w:ascii="仿宋_GB2312" w:eastAsia="仿宋_GB2312" w:hAnsi="仿宋_GB2312" w:cs="仿宋_GB2312" w:hint="eastAsia"/>
          <w:szCs w:val="32"/>
        </w:rPr>
        <w:t>技能鉴定中心或山东省职业技能鉴定指导中心验证的高级工（三级）及以上技能人员职业资格证书或职业技能等级证书；</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szCs w:val="32"/>
        </w:rPr>
        <w:t>（四）</w:t>
      </w:r>
      <w:r>
        <w:rPr>
          <w:rFonts w:ascii="仿宋_GB2312" w:eastAsia="仿宋_GB2312" w:hAnsi="仿宋_GB2312" w:cs="仿宋_GB2312" w:hint="eastAsia"/>
          <w:kern w:val="0"/>
          <w:szCs w:val="32"/>
        </w:rPr>
        <w:t>以高级管理人才申报的，提供近三年(分配公告发布前36个月)个税缴纳记录</w:t>
      </w:r>
      <w:r>
        <w:rPr>
          <w:rFonts w:ascii="仿宋_GB2312" w:eastAsia="仿宋_GB2312" w:hAnsi="仿宋_GB2312" w:cs="仿宋_GB2312" w:hint="eastAsia"/>
          <w:szCs w:val="32"/>
        </w:rPr>
        <w:t>（申报项目仅</w:t>
      </w:r>
      <w:proofErr w:type="gramStart"/>
      <w:r>
        <w:rPr>
          <w:rFonts w:ascii="仿宋_GB2312" w:eastAsia="仿宋_GB2312" w:hAnsi="仿宋_GB2312" w:cs="仿宋_GB2312" w:hint="eastAsia"/>
          <w:szCs w:val="32"/>
        </w:rPr>
        <w:t>含单位</w:t>
      </w:r>
      <w:proofErr w:type="gramEnd"/>
      <w:r>
        <w:rPr>
          <w:rFonts w:ascii="仿宋_GB2312" w:eastAsia="仿宋_GB2312" w:hAnsi="仿宋_GB2312" w:cs="仿宋_GB2312" w:hint="eastAsia"/>
          <w:szCs w:val="32"/>
        </w:rPr>
        <w:t>计缴工资、薪金所得和劳务报酬所得）；如在青工作不满三年，应补充提供原工作地近三年个税缴纳记录；</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（五）投资创业人才提供本人作为第一大股东或企业法人代表（近一年发生变更的除外）所创办企业的股东出资证明，以及本市税务机关出具的上年度企业纳税完税凭证或本市户籍员工花名册。</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四、工作关系材料</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（一）在</w:t>
      </w:r>
      <w:proofErr w:type="gramStart"/>
      <w:r>
        <w:rPr>
          <w:rFonts w:ascii="仿宋_GB2312" w:eastAsia="仿宋_GB2312" w:hAnsi="仿宋_GB2312" w:cs="仿宋_GB2312" w:hint="eastAsia"/>
          <w:kern w:val="0"/>
          <w:szCs w:val="32"/>
        </w:rPr>
        <w:t>青全职工作人才</w:t>
      </w:r>
      <w:proofErr w:type="gramEnd"/>
      <w:r>
        <w:rPr>
          <w:rFonts w:ascii="仿宋_GB2312" w:eastAsia="仿宋_GB2312" w:hAnsi="仿宋_GB2312" w:cs="仿宋_GB2312" w:hint="eastAsia"/>
          <w:kern w:val="0"/>
          <w:szCs w:val="32"/>
        </w:rPr>
        <w:t>需提供与用人单位签订的劳动（聘</w:t>
      </w:r>
      <w:r>
        <w:rPr>
          <w:rFonts w:ascii="仿宋_GB2312" w:eastAsia="仿宋_GB2312" w:hAnsi="仿宋_GB2312" w:cs="仿宋_GB2312" w:hint="eastAsia"/>
          <w:kern w:val="0"/>
          <w:szCs w:val="32"/>
        </w:rPr>
        <w:lastRenderedPageBreak/>
        <w:t>用）合同等工作关系证明，其中人力资源机构派遣制人员需同时提供与人力资源机构</w:t>
      </w:r>
      <w:proofErr w:type="gramStart"/>
      <w:r>
        <w:rPr>
          <w:rFonts w:ascii="仿宋_GB2312" w:eastAsia="仿宋_GB2312" w:hAnsi="仿宋_GB2312" w:cs="仿宋_GB2312" w:hint="eastAsia"/>
          <w:kern w:val="0"/>
          <w:szCs w:val="32"/>
        </w:rPr>
        <w:t>签定</w:t>
      </w:r>
      <w:proofErr w:type="gramEnd"/>
      <w:r>
        <w:rPr>
          <w:rFonts w:ascii="仿宋_GB2312" w:eastAsia="仿宋_GB2312" w:hAnsi="仿宋_GB2312" w:cs="仿宋_GB2312" w:hint="eastAsia"/>
          <w:kern w:val="0"/>
          <w:szCs w:val="32"/>
        </w:rPr>
        <w:t>的劳动合同以及实际用工单位出具的工作证明；</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（二）毕业学年在校大学生需提供与在青用人单位签订的就业协议，其中与人力资源机构签订就业协议的，应补充提供实际用工单位出具的证明；</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（三）柔性引进的高层次人才需提供合作协议和个税缴纳记录等证明。</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五、配偶加分材料</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配偶工作在青岛且符合人才类别要求的，还需提供其人才类别相关证明材料（同第三项内容）以及与用人单位签订的劳动（聘用）合同。</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六、高层次人才材料</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（一）《青岛市高层次人才分类目录》中规定人才如未办理《青岛市高层次人才服务绿卡》的可提供《山东惠才卡》；</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青岛市名师名校长、青岛市高层次卫生人才、青岛市文化领军人才、青岛市高层次金融人才、公共事业急需紧缺高层次人才、“青岛市首席技师”称号获得者需提供青岛市政府或相应市级主管部门印发的文件或证书。</w:t>
      </w:r>
    </w:p>
    <w:p w:rsidR="00AF5EF0" w:rsidRDefault="00915713">
      <w:pPr>
        <w:spacing w:line="600" w:lineRule="exact"/>
        <w:ind w:firstLineChars="200" w:firstLine="640"/>
        <w:rPr>
          <w:rFonts w:ascii="仿宋_GB2312" w:eastAsia="仿宋_GB2312" w:hAnsi="仿宋_GB2312" w:cs="仿宋_GB2312"/>
          <w:szCs w:val="32"/>
        </w:rPr>
      </w:pPr>
      <w:r>
        <w:rPr>
          <w:rFonts w:ascii="黑体" w:eastAsia="黑体" w:hAnsi="黑体" w:cs="黑体" w:hint="eastAsia"/>
          <w:kern w:val="0"/>
          <w:szCs w:val="32"/>
        </w:rPr>
        <w:t>七、《青岛市人才住房项目申请表》</w:t>
      </w:r>
    </w:p>
    <w:p w:rsidR="00AF5EF0" w:rsidRDefault="00915713" w:rsidP="00B73A16">
      <w:pPr>
        <w:spacing w:line="560" w:lineRule="exact"/>
        <w:ind w:firstLineChars="221" w:firstLine="707"/>
        <w:rPr>
          <w:rFonts w:ascii="黑体" w:eastAsia="黑体"/>
          <w:szCs w:val="32"/>
        </w:rPr>
      </w:pPr>
      <w:r>
        <w:rPr>
          <w:rFonts w:ascii="仿宋_GB2312" w:eastAsia="仿宋_GB2312" w:hAnsi="仿宋_GB2312" w:cs="仿宋_GB2312" w:hint="eastAsia"/>
          <w:szCs w:val="32"/>
        </w:rPr>
        <w:t>相关信息填报完成，系统自动生成《青岛市人才住房项目</w:t>
      </w:r>
      <w:r>
        <w:rPr>
          <w:rFonts w:ascii="仿宋_GB2312" w:eastAsia="仿宋_GB2312" w:hAnsi="仿宋_GB2312" w:cs="仿宋_GB2312" w:hint="eastAsia"/>
          <w:szCs w:val="32"/>
        </w:rPr>
        <w:lastRenderedPageBreak/>
        <w:t>申请表》，申请人和用人单位需签字盖章后上传。</w:t>
      </w: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tbl>
      <w:tblPr>
        <w:tblW w:w="938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389"/>
      </w:tblGrid>
      <w:tr w:rsidR="00AF5EF0">
        <w:trPr>
          <w:trHeight w:val="709"/>
        </w:trPr>
        <w:tc>
          <w:tcPr>
            <w:tcW w:w="9389" w:type="dxa"/>
            <w:tcBorders>
              <w:top w:val="single" w:sz="4" w:space="0" w:color="auto"/>
              <w:bottom w:val="single" w:sz="4" w:space="0" w:color="auto"/>
            </w:tcBorders>
            <w:vAlign w:val="center"/>
          </w:tcPr>
          <w:p w:rsidR="00AF5EF0" w:rsidRDefault="00915713">
            <w:pPr>
              <w:spacing w:line="560" w:lineRule="exact"/>
              <w:rPr>
                <w:rFonts w:ascii="仿宋_GB2312" w:eastAsia="仿宋_GB2312" w:cs="仿宋_GB2312"/>
                <w:spacing w:val="-4"/>
                <w:sz w:val="28"/>
                <w:szCs w:val="28"/>
              </w:rPr>
            </w:pPr>
            <w:r>
              <w:rPr>
                <w:rFonts w:ascii="仿宋_GB2312" w:eastAsia="仿宋_GB2312" w:cs="仿宋_GB2312" w:hint="eastAsia"/>
                <w:spacing w:val="-4"/>
                <w:sz w:val="28"/>
                <w:szCs w:val="28"/>
              </w:rPr>
              <w:t>青岛市人力资源和社会保障局办公室</w:t>
            </w:r>
            <w:r>
              <w:rPr>
                <w:rFonts w:ascii="仿宋_GB2312" w:eastAsia="仿宋_GB2312" w:cs="仿宋_GB2312"/>
                <w:spacing w:val="-4"/>
                <w:sz w:val="28"/>
                <w:szCs w:val="28"/>
              </w:rPr>
              <w:t xml:space="preserve">                2020</w:t>
            </w:r>
            <w:r>
              <w:rPr>
                <w:rFonts w:ascii="仿宋_GB2312" w:eastAsia="仿宋_GB2312" w:cs="仿宋_GB2312" w:hint="eastAsia"/>
                <w:spacing w:val="-4"/>
                <w:sz w:val="28"/>
                <w:szCs w:val="28"/>
              </w:rPr>
              <w:t>年10月28日印</w:t>
            </w: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61848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8480" cy="0"/>
                              </a:xfrm>
                              <a:prstGeom prst="line">
                                <a:avLst/>
                              </a:prstGeom>
                              <a:ln>
                                <a:noFill/>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42.4pt;z-index:251655168;mso-width-relative:page;mso-height-relative:page;" filled="f" stroked="f" coordsize="21600,21600" o:gfxdata="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G3ZoLSAAAAAgEAAA8AAAAAAAAAAQAgAAAAIgAAAGRy&#10;cy9kb3ducmV2LnhtbFBLAQIUABQAAAAIAIdO4kD2qHUWmQEAACMDAAAOAAAAAAAAAAEAIAAAACEB&#10;AABkcnMvZTJvRG9jLnhtbFBLBQYAAAAABgAGAFkBAAAsBQAAAAA=&#10;">
                      <v:fill on="f" focussize="0,0"/>
                      <v:stroke on="f"/>
                      <v:imagedata o:title=""/>
                      <o:lock v:ext="edit" aspectratio="f"/>
                    </v:line>
                  </w:pict>
                </mc:Fallback>
              </mc:AlternateContent>
            </w:r>
            <w:r>
              <w:rPr>
                <w:rFonts w:ascii="仿宋_GB2312" w:eastAsia="仿宋_GB2312" w:cs="仿宋_GB2312" w:hint="eastAsia"/>
                <w:spacing w:val="-4"/>
                <w:sz w:val="28"/>
                <w:szCs w:val="28"/>
              </w:rPr>
              <w:t xml:space="preserve">发  </w:t>
            </w:r>
          </w:p>
        </w:tc>
      </w:tr>
    </w:tbl>
    <w:p w:rsidR="00AF5EF0" w:rsidRDefault="00AF5EF0"/>
    <w:sectPr w:rsidR="00AF5EF0">
      <w:footerReference w:type="default" r:id="rId8"/>
      <w:type w:val="continuous"/>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33" w:rsidRDefault="00445933">
      <w:r>
        <w:separator/>
      </w:r>
    </w:p>
  </w:endnote>
  <w:endnote w:type="continuationSeparator" w:id="0">
    <w:p w:rsidR="00445933" w:rsidRDefault="0044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EF0" w:rsidRDefault="0091571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5EF0" w:rsidRDefault="00AF5EF0">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F5EF0" w:rsidRDefault="00AF5EF0">
                    <w:pPr>
                      <w:pStyle w:val="a4"/>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33" w:rsidRDefault="00445933">
      <w:r>
        <w:separator/>
      </w:r>
    </w:p>
  </w:footnote>
  <w:footnote w:type="continuationSeparator" w:id="0">
    <w:p w:rsidR="00445933" w:rsidRDefault="00445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F0"/>
    <w:rsid w:val="0001543A"/>
    <w:rsid w:val="00445933"/>
    <w:rsid w:val="004B0C13"/>
    <w:rsid w:val="00915713"/>
    <w:rsid w:val="00AE2298"/>
    <w:rsid w:val="00AF5EF0"/>
    <w:rsid w:val="00B73A16"/>
    <w:rsid w:val="00EE1AB3"/>
    <w:rsid w:val="05307802"/>
    <w:rsid w:val="2482576D"/>
    <w:rsid w:val="271F05A5"/>
    <w:rsid w:val="67857431"/>
    <w:rsid w:val="6C0D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color w:val="000000"/>
      <w:kern w:val="0"/>
      <w:sz w:val="24"/>
    </w:rPr>
  </w:style>
  <w:style w:type="character" w:customStyle="1" w:styleId="NormalCharacter">
    <w:name w:val="NormalCharacter"/>
    <w:semiHidden/>
    <w:qFormat/>
  </w:style>
  <w:style w:type="character" w:customStyle="1" w:styleId="Char">
    <w:name w:val="批注框文本 Char"/>
    <w:basedOn w:val="a0"/>
    <w:link w:val="a3"/>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color w:val="000000"/>
      <w:kern w:val="0"/>
      <w:sz w:val="24"/>
    </w:rPr>
  </w:style>
  <w:style w:type="character" w:customStyle="1" w:styleId="NormalCharacter">
    <w:name w:val="NormalCharacter"/>
    <w:semiHidden/>
    <w:qFormat/>
  </w:style>
  <w:style w:type="character" w:customStyle="1" w:styleId="Char">
    <w:name w:val="批注框文本 Char"/>
    <w:basedOn w:val="a0"/>
    <w:link w:val="a3"/>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894</Words>
  <Characters>5098</Characters>
  <Application>Microsoft Office Word</Application>
  <DocSecurity>0</DocSecurity>
  <Lines>42</Lines>
  <Paragraphs>11</Paragraphs>
  <ScaleCrop>false</ScaleCrop>
  <Company>神州网信技术有限公司</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张珍珍</dc:creator>
  <cp:lastModifiedBy>王浩</cp:lastModifiedBy>
  <cp:revision>7</cp:revision>
  <cp:lastPrinted>2020-10-22T10:46:00Z</cp:lastPrinted>
  <dcterms:created xsi:type="dcterms:W3CDTF">2020-10-15T14:40:00Z</dcterms:created>
  <dcterms:modified xsi:type="dcterms:W3CDTF">2021-11-30T06:51:00Z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